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721" w:firstLineChars="200"/>
        <w:jc w:val="center"/>
        <w:rPr>
          <w:rFonts w:ascii="华文中宋" w:hAnsi="华文中宋" w:eastAsia="华文中宋"/>
          <w:b/>
          <w:sz w:val="36"/>
          <w:szCs w:val="36"/>
        </w:rPr>
      </w:pPr>
      <w:bookmarkStart w:id="60" w:name="_GoBack"/>
    </w:p>
    <w:p>
      <w:pPr>
        <w:ind w:firstLine="723" w:firstLineChars="200"/>
        <w:jc w:val="center"/>
        <w:rPr>
          <w:rFonts w:ascii="宋体" w:hAnsi="宋体"/>
          <w:b/>
          <w:sz w:val="36"/>
          <w:szCs w:val="36"/>
        </w:rPr>
      </w:pPr>
    </w:p>
    <w:p>
      <w:pPr>
        <w:ind w:firstLine="721" w:firstLineChars="200"/>
        <w:jc w:val="center"/>
        <w:rPr>
          <w:rFonts w:ascii="华文中宋" w:hAnsi="华文中宋" w:eastAsia="华文中宋"/>
          <w:b/>
          <w:sz w:val="36"/>
          <w:szCs w:val="36"/>
        </w:rPr>
      </w:pPr>
    </w:p>
    <w:p>
      <w:pPr>
        <w:ind w:firstLine="721" w:firstLineChars="200"/>
        <w:jc w:val="center"/>
        <w:rPr>
          <w:rFonts w:ascii="华文中宋" w:hAnsi="华文中宋" w:eastAsia="华文中宋"/>
          <w:b/>
          <w:sz w:val="36"/>
          <w:szCs w:val="36"/>
        </w:rPr>
      </w:pPr>
    </w:p>
    <w:p>
      <w:pPr>
        <w:ind w:firstLine="721" w:firstLineChars="200"/>
        <w:jc w:val="center"/>
        <w:rPr>
          <w:rFonts w:ascii="华文中宋" w:hAnsi="华文中宋" w:eastAsia="华文中宋"/>
          <w:b/>
          <w:sz w:val="36"/>
          <w:szCs w:val="36"/>
        </w:rPr>
      </w:pPr>
    </w:p>
    <w:p>
      <w:pPr>
        <w:jc w:val="center"/>
        <w:rPr>
          <w:rFonts w:ascii="仿宋" w:hAnsi="仿宋" w:eastAsia="仿宋"/>
          <w:sz w:val="32"/>
          <w:szCs w:val="32"/>
        </w:rPr>
      </w:pPr>
      <w:r>
        <w:rPr>
          <w:rFonts w:hint="eastAsia" w:ascii="仿宋" w:hAnsi="仿宋" w:eastAsia="仿宋"/>
          <w:sz w:val="32"/>
          <w:szCs w:val="32"/>
        </w:rPr>
        <w:t>河海文天校政〔2017〕</w:t>
      </w:r>
      <w:r>
        <w:rPr>
          <w:rFonts w:hint="eastAsia" w:ascii="仿宋" w:hAnsi="仿宋" w:eastAsia="仿宋"/>
          <w:sz w:val="32"/>
          <w:szCs w:val="32"/>
          <w:lang w:val="en-US" w:eastAsia="zh-CN"/>
        </w:rPr>
        <w:t>191</w:t>
      </w:r>
      <w:r>
        <w:rPr>
          <w:rFonts w:hint="eastAsia" w:ascii="仿宋" w:hAnsi="仿宋" w:eastAsia="仿宋"/>
          <w:sz w:val="32"/>
          <w:szCs w:val="32"/>
        </w:rPr>
        <w:t xml:space="preserve">号 </w:t>
      </w:r>
      <w:r>
        <w:rPr>
          <w:rFonts w:hint="eastAsia" w:ascii="仿宋" w:hAnsi="仿宋" w:eastAsia="仿宋"/>
          <w:sz w:val="32"/>
          <w:szCs w:val="32"/>
          <w:lang w:val="en-US" w:eastAsia="zh-CN"/>
        </w:rPr>
        <w:t xml:space="preserve">        </w:t>
      </w:r>
      <w:r>
        <w:rPr>
          <w:rFonts w:hint="eastAsia" w:ascii="楷体" w:hAnsi="楷体" w:eastAsia="楷体" w:cs="楷体"/>
          <w:sz w:val="32"/>
          <w:szCs w:val="32"/>
          <w:lang w:eastAsia="zh-CN"/>
        </w:rPr>
        <w:t>签发人：吴继敏</w:t>
      </w:r>
      <w:r>
        <w:rPr>
          <w:rFonts w:hint="eastAsia" w:ascii="仿宋" w:hAnsi="仿宋" w:eastAsia="仿宋"/>
          <w:sz w:val="32"/>
          <w:szCs w:val="32"/>
        </w:rPr>
        <w:t xml:space="preserve">                    </w:t>
      </w:r>
    </w:p>
    <w:p>
      <w:pPr>
        <w:spacing w:line="540" w:lineRule="exact"/>
        <w:ind w:firstLine="720" w:firstLineChars="200"/>
        <w:jc w:val="center"/>
        <w:rPr>
          <w:rFonts w:ascii="华文中宋" w:hAnsi="华文中宋" w:eastAsia="华文中宋"/>
          <w:sz w:val="36"/>
          <w:szCs w:val="36"/>
        </w:rPr>
      </w:pPr>
    </w:p>
    <w:p>
      <w:pPr>
        <w:spacing w:line="540" w:lineRule="exact"/>
        <w:ind w:firstLine="720" w:firstLineChars="200"/>
        <w:jc w:val="center"/>
        <w:rPr>
          <w:rFonts w:ascii="华文中宋" w:hAnsi="华文中宋" w:eastAsia="华文中宋"/>
          <w:sz w:val="36"/>
          <w:szCs w:val="36"/>
        </w:rPr>
      </w:pPr>
    </w:p>
    <w:p>
      <w:pPr>
        <w:widowControl/>
        <w:jc w:val="center"/>
        <w:rPr>
          <w:rFonts w:hint="eastAsia" w:ascii="宋体" w:hAnsi="宋体" w:cs="宋体"/>
          <w:b/>
          <w:bCs/>
          <w:color w:val="000000"/>
          <w:kern w:val="0"/>
          <w:sz w:val="44"/>
          <w:szCs w:val="44"/>
        </w:rPr>
      </w:pPr>
      <w:r>
        <w:rPr>
          <w:rFonts w:hint="eastAsia" w:ascii="宋体" w:hAnsi="宋体" w:cs="宋体"/>
          <w:b/>
          <w:bCs/>
          <w:color w:val="000000"/>
          <w:kern w:val="0"/>
          <w:sz w:val="44"/>
          <w:szCs w:val="44"/>
        </w:rPr>
        <w:t>河海大学文天学院</w:t>
      </w:r>
    </w:p>
    <w:p>
      <w:pPr>
        <w:widowControl/>
        <w:jc w:val="center"/>
        <w:rPr>
          <w:rFonts w:hint="eastAsia" w:ascii="宋体" w:hAnsi="宋体" w:cs="宋体"/>
          <w:b/>
          <w:bCs/>
          <w:color w:val="000000"/>
          <w:kern w:val="0"/>
          <w:sz w:val="44"/>
          <w:szCs w:val="44"/>
        </w:rPr>
      </w:pPr>
      <w:r>
        <w:rPr>
          <w:rFonts w:hint="eastAsia" w:ascii="宋体" w:hAnsi="宋体" w:cs="宋体"/>
          <w:b/>
          <w:bCs/>
          <w:color w:val="000000"/>
          <w:kern w:val="0"/>
          <w:sz w:val="44"/>
          <w:szCs w:val="44"/>
        </w:rPr>
        <w:t>关于</w:t>
      </w:r>
      <w:r>
        <w:rPr>
          <w:rFonts w:hint="eastAsia" w:ascii="宋体" w:hAnsi="宋体" w:cs="宋体"/>
          <w:b/>
          <w:bCs/>
          <w:color w:val="000000"/>
          <w:kern w:val="0"/>
          <w:sz w:val="44"/>
          <w:szCs w:val="44"/>
          <w:lang w:val="en-US" w:eastAsia="zh-CN"/>
        </w:rPr>
        <w:t>2016-2017学年本科教学质量的报告</w:t>
      </w:r>
    </w:p>
    <w:p>
      <w:pPr>
        <w:ind w:left="0" w:leftChars="0" w:firstLine="0" w:firstLineChars="0"/>
        <w:jc w:val="center"/>
        <w:rPr>
          <w:rFonts w:ascii="宋体" w:hAnsi="宋体" w:cs="宋体"/>
          <w:b/>
          <w:bCs/>
          <w:sz w:val="44"/>
          <w:szCs w:val="44"/>
        </w:rPr>
      </w:pPr>
    </w:p>
    <w:p>
      <w:pPr>
        <w:spacing w:line="360" w:lineRule="auto"/>
        <w:ind w:firstLine="420" w:firstLineChars="200"/>
      </w:pP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eastAsia" w:ascii="仿宋_GB2312" w:eastAsia="仿宋_GB2312"/>
          <w:sz w:val="32"/>
          <w:szCs w:val="32"/>
        </w:rPr>
      </w:pPr>
      <w:r>
        <w:rPr>
          <w:rFonts w:hint="eastAsia" w:ascii="仿宋_GB2312" w:eastAsia="仿宋_GB2312"/>
          <w:sz w:val="32"/>
          <w:szCs w:val="32"/>
          <w:lang w:eastAsia="zh-CN"/>
        </w:rPr>
        <w:t>省教育厅高教处</w:t>
      </w:r>
      <w:r>
        <w:rPr>
          <w:rFonts w:hint="eastAsia" w:ascii="仿宋_GB2312" w:eastAsia="仿宋_GB2312"/>
          <w:sz w:val="32"/>
          <w:szCs w:val="32"/>
        </w:rPr>
        <w:t>：</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根据《安徽省教育厅转发国务院教育督导委员会办公室关于普通高等学校编制发布2016-2017学年&lt;本科教学质量报告&gt;的通知》（</w:t>
      </w:r>
      <w:r>
        <w:rPr>
          <w:rFonts w:hint="eastAsia" w:ascii="仿宋_GB2312" w:eastAsia="仿宋_GB2312"/>
          <w:sz w:val="32"/>
          <w:szCs w:val="32"/>
          <w:lang w:eastAsia="zh-CN"/>
        </w:rPr>
        <w:t>皖教秘高[201</w:t>
      </w:r>
      <w:r>
        <w:rPr>
          <w:rFonts w:hint="eastAsia" w:ascii="仿宋_GB2312" w:eastAsia="仿宋_GB2312"/>
          <w:sz w:val="32"/>
          <w:szCs w:val="32"/>
          <w:lang w:val="en-US" w:eastAsia="zh-CN"/>
        </w:rPr>
        <w:t>7</w:t>
      </w:r>
      <w:r>
        <w:rPr>
          <w:rFonts w:hint="eastAsia" w:ascii="仿宋_GB2312" w:eastAsia="仿宋_GB2312"/>
          <w:sz w:val="32"/>
          <w:szCs w:val="32"/>
          <w:lang w:eastAsia="zh-CN"/>
        </w:rPr>
        <w:t>]</w:t>
      </w:r>
      <w:r>
        <w:rPr>
          <w:rFonts w:hint="eastAsia" w:ascii="仿宋_GB2312" w:eastAsia="仿宋_GB2312"/>
          <w:sz w:val="32"/>
          <w:szCs w:val="32"/>
          <w:lang w:val="en-US" w:eastAsia="zh-CN"/>
        </w:rPr>
        <w:t>178</w:t>
      </w:r>
      <w:r>
        <w:rPr>
          <w:rFonts w:hint="eastAsia" w:ascii="仿宋_GB2312" w:eastAsia="仿宋_GB2312"/>
          <w:sz w:val="32"/>
          <w:szCs w:val="32"/>
          <w:lang w:eastAsia="zh-CN"/>
        </w:rPr>
        <w:t>号</w:t>
      </w:r>
      <w:r>
        <w:rPr>
          <w:rFonts w:hint="eastAsia" w:ascii="仿宋_GB2312" w:eastAsia="仿宋_GB2312"/>
          <w:sz w:val="32"/>
          <w:szCs w:val="32"/>
          <w:lang w:val="en-US" w:eastAsia="zh-CN"/>
        </w:rPr>
        <w:t>）文件要求，我院在认真分析教学基本状态的基础上，突出教学改革亮点，编制了《河海大学文天学院2016-2017学年本科教学质量报告》。我院将以编制本科教学质量报告为契机，推进教育教学改革，不断提高教育教学质量。</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附件：《河海大学文天学院2016-2017学年本科教学质量报告》</w:t>
      </w:r>
    </w:p>
    <w:p>
      <w:pPr>
        <w:spacing w:line="360" w:lineRule="auto"/>
        <w:ind w:firstLine="640" w:firstLineChars="200"/>
        <w:rPr>
          <w:rFonts w:ascii="仿宋_GB2312" w:eastAsia="仿宋_GB2312"/>
          <w:sz w:val="32"/>
          <w:szCs w:val="32"/>
        </w:rPr>
      </w:pPr>
    </w:p>
    <w:p>
      <w:pPr>
        <w:spacing w:line="360" w:lineRule="auto"/>
        <w:ind w:firstLine="640" w:firstLineChars="200"/>
        <w:jc w:val="right"/>
        <w:rPr>
          <w:rFonts w:hint="eastAsia" w:ascii="仿宋_GB2312" w:eastAsia="仿宋_GB2312"/>
          <w:sz w:val="32"/>
          <w:szCs w:val="32"/>
        </w:rPr>
      </w:pPr>
      <w:r>
        <w:rPr>
          <w:rFonts w:hint="eastAsia" w:ascii="仿宋_GB2312" w:eastAsia="仿宋_GB2312"/>
          <w:sz w:val="32"/>
          <w:szCs w:val="32"/>
        </w:rPr>
        <w:t xml:space="preserve">                         </w:t>
      </w:r>
    </w:p>
    <w:p>
      <w:pPr>
        <w:spacing w:line="360" w:lineRule="auto"/>
        <w:ind w:firstLine="640" w:firstLineChars="200"/>
        <w:jc w:val="right"/>
        <w:rPr>
          <w:rFonts w:hint="eastAsia" w:ascii="仿宋_GB2312" w:eastAsia="仿宋_GB2312"/>
          <w:sz w:val="32"/>
          <w:szCs w:val="32"/>
        </w:rPr>
      </w:pPr>
    </w:p>
    <w:p>
      <w:pPr>
        <w:spacing w:line="360" w:lineRule="auto"/>
        <w:ind w:firstLine="640" w:firstLineChars="200"/>
        <w:jc w:val="right"/>
        <w:rPr>
          <w:rFonts w:ascii="仿宋_GB2312" w:eastAsia="仿宋_GB2312"/>
          <w:sz w:val="32"/>
          <w:szCs w:val="32"/>
        </w:rPr>
      </w:pPr>
      <w:r>
        <w:rPr>
          <w:rFonts w:hint="eastAsia" w:ascii="仿宋_GB2312" w:eastAsia="仿宋_GB2312"/>
          <w:sz w:val="32"/>
          <w:szCs w:val="32"/>
        </w:rPr>
        <w:t xml:space="preserve"> 河海大学文天学院</w:t>
      </w:r>
    </w:p>
    <w:p>
      <w:pPr>
        <w:spacing w:line="360" w:lineRule="auto"/>
        <w:ind w:firstLine="640" w:firstLineChars="200"/>
        <w:rPr>
          <w:rFonts w:ascii="仿宋_GB2312" w:eastAsia="仿宋_GB2312"/>
          <w:sz w:val="32"/>
          <w:szCs w:val="32"/>
        </w:rPr>
      </w:pPr>
      <w:r>
        <w:rPr>
          <w:rFonts w:hint="eastAsia" w:ascii="仿宋_GB2312" w:eastAsia="仿宋_GB2312"/>
          <w:sz w:val="32"/>
          <w:szCs w:val="32"/>
        </w:rPr>
        <w:t xml:space="preserve">                                2017年12月</w:t>
      </w:r>
      <w:r>
        <w:rPr>
          <w:rFonts w:hint="eastAsia" w:ascii="仿宋_GB2312" w:eastAsia="仿宋_GB2312"/>
          <w:sz w:val="32"/>
          <w:szCs w:val="32"/>
          <w:lang w:val="en-US" w:eastAsia="zh-CN"/>
        </w:rPr>
        <w:t>14</w:t>
      </w:r>
      <w:r>
        <w:rPr>
          <w:rFonts w:hint="eastAsia" w:ascii="仿宋_GB2312" w:eastAsia="仿宋_GB2312"/>
          <w:sz w:val="32"/>
          <w:szCs w:val="32"/>
        </w:rPr>
        <w:t>日</w:t>
      </w:r>
    </w:p>
    <w:p>
      <w:pPr>
        <w:spacing w:line="360" w:lineRule="auto"/>
        <w:ind w:firstLine="640" w:firstLineChars="200"/>
        <w:rPr>
          <w:rFonts w:ascii="仿宋_GB2312" w:eastAsia="仿宋_GB2312"/>
          <w:sz w:val="32"/>
          <w:szCs w:val="32"/>
        </w:rPr>
      </w:pPr>
    </w:p>
    <w:p>
      <w:pPr>
        <w:spacing w:line="360" w:lineRule="auto"/>
        <w:ind w:firstLine="640" w:firstLineChars="200"/>
        <w:rPr>
          <w:rFonts w:ascii="仿宋_GB2312" w:eastAsia="仿宋_GB2312"/>
          <w:sz w:val="32"/>
          <w:szCs w:val="32"/>
        </w:rPr>
      </w:pPr>
    </w:p>
    <w:p>
      <w:pPr>
        <w:spacing w:line="360" w:lineRule="auto"/>
        <w:ind w:firstLine="640" w:firstLineChars="200"/>
        <w:rPr>
          <w:rFonts w:ascii="仿宋_GB2312" w:eastAsia="仿宋_GB2312"/>
          <w:sz w:val="32"/>
          <w:szCs w:val="32"/>
        </w:rPr>
      </w:pPr>
    </w:p>
    <w:p>
      <w:pPr>
        <w:spacing w:line="360" w:lineRule="auto"/>
        <w:ind w:firstLine="640" w:firstLineChars="200"/>
        <w:rPr>
          <w:rFonts w:ascii="仿宋_GB2312" w:eastAsia="仿宋_GB2312"/>
          <w:sz w:val="32"/>
          <w:szCs w:val="32"/>
        </w:rPr>
      </w:pPr>
    </w:p>
    <w:p>
      <w:pPr>
        <w:spacing w:line="360" w:lineRule="auto"/>
        <w:ind w:firstLine="640" w:firstLineChars="200"/>
        <w:rPr>
          <w:rFonts w:ascii="仿宋_GB2312" w:eastAsia="仿宋_GB2312"/>
          <w:sz w:val="32"/>
          <w:szCs w:val="32"/>
        </w:rPr>
      </w:pPr>
    </w:p>
    <w:p>
      <w:pPr>
        <w:spacing w:line="360" w:lineRule="auto"/>
        <w:ind w:firstLine="640" w:firstLineChars="200"/>
        <w:rPr>
          <w:rFonts w:ascii="仿宋_GB2312" w:eastAsia="仿宋_GB2312"/>
          <w:sz w:val="32"/>
          <w:szCs w:val="32"/>
        </w:rPr>
      </w:pPr>
    </w:p>
    <w:p>
      <w:pPr>
        <w:spacing w:line="360" w:lineRule="auto"/>
        <w:ind w:firstLine="640" w:firstLineChars="200"/>
        <w:rPr>
          <w:rFonts w:ascii="仿宋_GB2312" w:eastAsia="仿宋_GB2312"/>
          <w:sz w:val="32"/>
          <w:szCs w:val="32"/>
        </w:rPr>
      </w:pPr>
    </w:p>
    <w:p>
      <w:pPr>
        <w:spacing w:line="360" w:lineRule="auto"/>
        <w:ind w:firstLine="640" w:firstLineChars="200"/>
        <w:rPr>
          <w:rFonts w:ascii="仿宋_GB2312" w:eastAsia="仿宋_GB2312"/>
          <w:sz w:val="32"/>
          <w:szCs w:val="32"/>
        </w:rPr>
      </w:pPr>
    </w:p>
    <w:p>
      <w:pPr>
        <w:spacing w:line="360" w:lineRule="auto"/>
        <w:ind w:firstLine="640" w:firstLineChars="200"/>
        <w:rPr>
          <w:rFonts w:ascii="仿宋_GB2312" w:eastAsia="仿宋_GB2312"/>
          <w:sz w:val="32"/>
          <w:szCs w:val="32"/>
        </w:rPr>
      </w:pPr>
    </w:p>
    <w:p>
      <w:pPr>
        <w:spacing w:line="360" w:lineRule="auto"/>
        <w:ind w:firstLine="640" w:firstLineChars="200"/>
        <w:rPr>
          <w:rFonts w:ascii="仿宋_GB2312" w:eastAsia="仿宋_GB2312"/>
          <w:sz w:val="32"/>
          <w:szCs w:val="32"/>
        </w:rPr>
      </w:pPr>
    </w:p>
    <w:p>
      <w:pPr>
        <w:spacing w:line="360" w:lineRule="auto"/>
        <w:ind w:firstLine="640" w:firstLineChars="200"/>
        <w:rPr>
          <w:rFonts w:ascii="仿宋_GB2312" w:eastAsia="仿宋_GB2312"/>
          <w:sz w:val="32"/>
          <w:szCs w:val="32"/>
        </w:rPr>
      </w:pPr>
    </w:p>
    <w:p>
      <w:pPr>
        <w:spacing w:line="360" w:lineRule="auto"/>
        <w:ind w:firstLine="640" w:firstLineChars="200"/>
        <w:rPr>
          <w:rFonts w:ascii="仿宋_GB2312" w:eastAsia="仿宋_GB2312"/>
          <w:sz w:val="32"/>
          <w:szCs w:val="32"/>
        </w:rPr>
      </w:pPr>
    </w:p>
    <w:p>
      <w:pPr>
        <w:spacing w:line="360" w:lineRule="auto"/>
        <w:ind w:firstLine="640" w:firstLineChars="200"/>
        <w:rPr>
          <w:rFonts w:ascii="仿宋_GB2312" w:eastAsia="仿宋_GB2312"/>
          <w:sz w:val="32"/>
          <w:szCs w:val="32"/>
        </w:rPr>
      </w:pPr>
    </w:p>
    <w:p>
      <w:pPr>
        <w:spacing w:line="360" w:lineRule="auto"/>
        <w:ind w:firstLine="640" w:firstLineChars="200"/>
        <w:rPr>
          <w:rFonts w:ascii="仿宋_GB2312" w:eastAsia="仿宋_GB2312"/>
          <w:sz w:val="32"/>
          <w:szCs w:val="32"/>
        </w:rPr>
      </w:pPr>
    </w:p>
    <w:p>
      <w:pPr>
        <w:spacing w:line="360" w:lineRule="auto"/>
        <w:ind w:firstLine="640" w:firstLineChars="200"/>
        <w:rPr>
          <w:rFonts w:ascii="仿宋_GB2312" w:eastAsia="仿宋_GB2312"/>
          <w:sz w:val="32"/>
          <w:szCs w:val="32"/>
        </w:rPr>
      </w:pPr>
    </w:p>
    <w:p>
      <w:pPr>
        <w:spacing w:line="360" w:lineRule="auto"/>
        <w:ind w:firstLine="640" w:firstLineChars="200"/>
        <w:rPr>
          <w:rFonts w:ascii="仿宋_GB2312" w:eastAsia="仿宋_GB2312"/>
          <w:sz w:val="32"/>
          <w:szCs w:val="32"/>
        </w:rPr>
      </w:pPr>
    </w:p>
    <w:p>
      <w:pPr>
        <w:spacing w:line="360" w:lineRule="auto"/>
        <w:ind w:firstLine="640" w:firstLineChars="200"/>
        <w:rPr>
          <w:rFonts w:ascii="仿宋_GB2312" w:eastAsia="仿宋_GB2312"/>
          <w:sz w:val="32"/>
          <w:szCs w:val="32"/>
        </w:rPr>
      </w:pPr>
    </w:p>
    <w:p>
      <w:pPr>
        <w:spacing w:line="360" w:lineRule="auto"/>
        <w:ind w:firstLine="640" w:firstLineChars="200"/>
        <w:rPr>
          <w:rFonts w:ascii="仿宋_GB2312" w:eastAsia="仿宋_GB2312"/>
          <w:sz w:val="32"/>
          <w:szCs w:val="32"/>
        </w:rPr>
      </w:pPr>
    </w:p>
    <w:p>
      <w:pPr>
        <w:spacing w:line="360" w:lineRule="auto"/>
        <w:jc w:val="center"/>
        <w:rPr>
          <w:rFonts w:ascii="仿宋_GB2312" w:eastAsia="仿宋_GB2312"/>
          <w:sz w:val="32"/>
          <w:szCs w:val="32"/>
        </w:rPr>
      </w:pPr>
      <w:r>
        <w:rPr>
          <w:rFonts w:hint="eastAsia" w:ascii="仿宋_GB2312" w:eastAsia="仿宋_GB2312"/>
          <w:sz w:val="32"/>
          <w:szCs w:val="32"/>
        </w:rPr>
        <mc:AlternateContent>
          <mc:Choice Requires="wps">
            <w:drawing>
              <wp:anchor distT="0" distB="0" distL="114300" distR="114300" simplePos="0" relativeHeight="251661312" behindDoc="0" locked="0" layoutInCell="1" allowOverlap="1">
                <wp:simplePos x="0" y="0"/>
                <wp:positionH relativeFrom="column">
                  <wp:posOffset>133350</wp:posOffset>
                </wp:positionH>
                <wp:positionV relativeFrom="paragraph">
                  <wp:posOffset>361950</wp:posOffset>
                </wp:positionV>
                <wp:extent cx="5048250" cy="0"/>
                <wp:effectExtent l="0" t="0" r="19050" b="19050"/>
                <wp:wrapNone/>
                <wp:docPr id="6" name="直接连接符 6"/>
                <wp:cNvGraphicFramePr/>
                <a:graphic xmlns:a="http://schemas.openxmlformats.org/drawingml/2006/main">
                  <a:graphicData uri="http://schemas.microsoft.com/office/word/2010/wordprocessingShape">
                    <wps:wsp>
                      <wps:cNvCnPr/>
                      <wps:spPr>
                        <a:xfrm>
                          <a:off x="0" y="0"/>
                          <a:ext cx="5048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0.5pt;margin-top:28.5pt;height:0pt;width:397.5pt;z-index:251661312;mso-width-relative:page;mso-height-relative:page;" filled="f" stroked="t" coordsize="21600,21600" o:gfxdata="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HV/fwNUAAAAIAQAADwAAAAAAAAABACAAAAAi&#10;AAAAZHJzL2Rvd25yZXYueG1sUEsBAhQAFAAAAAgAh07iQLwcHgjUAQAAhQMAAA4AAAAAAAAAAQAg&#10;AAAAJAEAAGRycy9lMm9Eb2MueG1sUEsFBgAAAAAGAAYAWQEAAGoFAAAAAA==&#10;">
                <v:fill on="f" focussize="0,0"/>
                <v:stroke color="#000000 [3200]" joinstyle="round"/>
                <v:imagedata o:title=""/>
                <o:lock v:ext="edit" aspectratio="f"/>
              </v:line>
            </w:pict>
          </mc:Fallback>
        </mc:AlternateContent>
      </w:r>
      <w:r>
        <w:rPr>
          <w:rFonts w:hint="eastAsia" w:ascii="仿宋_GB2312" w:eastAsia="仿宋_GB2312"/>
          <w:sz w:val="32"/>
          <w:szCs w:val="32"/>
        </w:rPr>
        <mc:AlternateContent>
          <mc:Choice Requires="wps">
            <w:drawing>
              <wp:anchor distT="0" distB="0" distL="114300" distR="114300" simplePos="0" relativeHeight="251659264" behindDoc="0" locked="0" layoutInCell="1" allowOverlap="1">
                <wp:simplePos x="0" y="0"/>
                <wp:positionH relativeFrom="column">
                  <wp:posOffset>123825</wp:posOffset>
                </wp:positionH>
                <wp:positionV relativeFrom="paragraph">
                  <wp:posOffset>57150</wp:posOffset>
                </wp:positionV>
                <wp:extent cx="5038725" cy="0"/>
                <wp:effectExtent l="0" t="0" r="9525" b="19050"/>
                <wp:wrapNone/>
                <wp:docPr id="5" name="直接连接符 5"/>
                <wp:cNvGraphicFramePr/>
                <a:graphic xmlns:a="http://schemas.openxmlformats.org/drawingml/2006/main">
                  <a:graphicData uri="http://schemas.microsoft.com/office/word/2010/wordprocessingShape">
                    <wps:wsp>
                      <wps:cNvCnPr/>
                      <wps:spPr>
                        <a:xfrm>
                          <a:off x="0" y="0"/>
                          <a:ext cx="5038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9.75pt;margin-top:4.5pt;height:0pt;width:396.75pt;z-index:251659264;mso-width-relative:page;mso-height-relative:page;" filled="f" stroked="t" coordsize="21600,21600" o:gfxdata="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njHp/tMAAAAGAQAADwAAAAAAAAABACAAAAAiAAAA&#10;ZHJzL2Rvd25yZXYueG1sUEsBAhQAFAAAAAgAh07iQIyCO6LTAQAAhQMAAA4AAAAAAAAAAQAgAAAA&#10;IgEAAGRycy9lMm9Eb2MueG1sUEsFBgAAAAAGAAYAWQEAAGcFAAAAAA==&#10;">
                <v:fill on="f" focussize="0,0"/>
                <v:stroke color="#000000 [3200]" joinstyle="round"/>
                <v:imagedata o:title=""/>
                <o:lock v:ext="edit" aspectratio="f"/>
              </v:line>
            </w:pict>
          </mc:Fallback>
        </mc:AlternateContent>
      </w:r>
      <w:r>
        <w:rPr>
          <w:rFonts w:hint="eastAsia" w:ascii="仿宋_GB2312" w:eastAsia="仿宋_GB2312"/>
          <w:sz w:val="32"/>
          <w:szCs w:val="32"/>
        </w:rPr>
        <w:t>河海大学文天学院院务部      2017年12月</w:t>
      </w:r>
      <w:r>
        <w:rPr>
          <w:rFonts w:hint="eastAsia" w:ascii="仿宋_GB2312" w:eastAsia="仿宋_GB2312"/>
          <w:sz w:val="32"/>
          <w:szCs w:val="32"/>
          <w:lang w:val="en-US" w:eastAsia="zh-CN"/>
        </w:rPr>
        <w:t>14</w:t>
      </w:r>
      <w:r>
        <w:rPr>
          <w:rFonts w:hint="eastAsia" w:ascii="仿宋_GB2312" w:eastAsia="仿宋_GB2312"/>
          <w:sz w:val="32"/>
          <w:szCs w:val="32"/>
        </w:rPr>
        <w:t>日印发</w:t>
      </w:r>
    </w:p>
    <w:p>
      <w:pPr>
        <w:spacing w:line="360" w:lineRule="auto"/>
        <w:ind w:firstLine="420" w:firstLineChars="200"/>
        <w:jc w:val="left"/>
      </w:pPr>
    </w:p>
    <w:p>
      <w:pPr>
        <w:jc w:val="center"/>
        <w:rPr>
          <w:rFonts w:ascii="华文中宋" w:hAnsi="华文中宋" w:eastAsia="华文中宋"/>
          <w:sz w:val="96"/>
        </w:rPr>
      </w:pPr>
      <w:r>
        <w:rPr>
          <w:rFonts w:hint="eastAsia" w:ascii="华文中宋" w:hAnsi="华文中宋" w:eastAsia="华文中宋"/>
          <w:sz w:val="96"/>
        </w:rPr>
        <w:t xml:space="preserve">  </w:t>
      </w:r>
    </w:p>
    <w:p>
      <w:pPr>
        <w:jc w:val="center"/>
        <w:rPr>
          <w:rFonts w:ascii="华文中宋" w:hAnsi="华文中宋" w:eastAsia="华文中宋"/>
          <w:sz w:val="96"/>
        </w:rPr>
      </w:pPr>
      <w:r>
        <w:rPr>
          <w:rFonts w:hint="eastAsia" w:ascii="华文中宋" w:hAnsi="华文中宋" w:eastAsia="华文中宋"/>
          <w:sz w:val="72"/>
        </w:rPr>
        <w:drawing>
          <wp:inline distT="0" distB="0" distL="0" distR="0">
            <wp:extent cx="859790" cy="859790"/>
            <wp:effectExtent l="0" t="0" r="16510" b="16510"/>
            <wp:docPr id="2" name="图片 2" descr="C:\Documents and Settings\Administrator\My Documents\Tencent Files\52589100\FileRecv\校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Documents and Settings\Administrator\My Documents\Tencent Files\52589100\FileRecv\校徽.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859796" cy="859796"/>
                    </a:xfrm>
                    <a:prstGeom prst="rect">
                      <a:avLst/>
                    </a:prstGeom>
                    <a:noFill/>
                    <a:ln>
                      <a:noFill/>
                    </a:ln>
                  </pic:spPr>
                </pic:pic>
              </a:graphicData>
            </a:graphic>
          </wp:inline>
        </w:drawing>
      </w:r>
      <w:r>
        <w:rPr>
          <w:rFonts w:hint="eastAsia" w:ascii="华文中宋" w:hAnsi="华文中宋" w:eastAsia="华文中宋"/>
          <w:sz w:val="96"/>
        </w:rPr>
        <w:drawing>
          <wp:inline distT="0" distB="0" distL="0" distR="0">
            <wp:extent cx="3629660" cy="911860"/>
            <wp:effectExtent l="0" t="0" r="8890" b="2540"/>
            <wp:docPr id="3" name="图片 3" descr="C:\Documents and Settings\Administrator\My Documents\Tencent Files\52589100\FileRecv\校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Documents and Settings\Administrator\My Documents\Tencent Files\52589100\FileRecv\校名.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630053" cy="912327"/>
                    </a:xfrm>
                    <a:prstGeom prst="rect">
                      <a:avLst/>
                    </a:prstGeom>
                    <a:noFill/>
                    <a:ln>
                      <a:noFill/>
                    </a:ln>
                  </pic:spPr>
                </pic:pic>
              </a:graphicData>
            </a:graphic>
          </wp:inline>
        </w:drawing>
      </w:r>
    </w:p>
    <w:p>
      <w:pPr>
        <w:jc w:val="center"/>
        <w:rPr>
          <w:rFonts w:ascii="华文中宋" w:hAnsi="华文中宋" w:eastAsia="华文中宋"/>
          <w:sz w:val="72"/>
        </w:rPr>
      </w:pPr>
    </w:p>
    <w:p>
      <w:pPr>
        <w:jc w:val="center"/>
        <w:rPr>
          <w:rFonts w:ascii="华文中宋" w:hAnsi="华文中宋" w:eastAsia="华文中宋"/>
          <w:sz w:val="72"/>
        </w:rPr>
      </w:pPr>
      <w:r>
        <w:rPr>
          <w:rFonts w:hint="eastAsia" w:ascii="华文中宋" w:hAnsi="华文中宋" w:eastAsia="华文中宋"/>
          <w:sz w:val="72"/>
        </w:rPr>
        <w:t>201</w:t>
      </w:r>
      <w:r>
        <w:rPr>
          <w:rFonts w:hint="eastAsia" w:ascii="华文中宋" w:hAnsi="华文中宋" w:eastAsia="华文中宋"/>
          <w:sz w:val="72"/>
          <w:lang w:val="en-US" w:eastAsia="zh-CN"/>
        </w:rPr>
        <w:t>6</w:t>
      </w:r>
      <w:r>
        <w:rPr>
          <w:rFonts w:hint="eastAsia" w:ascii="华文中宋" w:hAnsi="华文中宋" w:eastAsia="华文中宋"/>
          <w:sz w:val="72"/>
        </w:rPr>
        <w:t>-201</w:t>
      </w:r>
      <w:r>
        <w:rPr>
          <w:rFonts w:hint="eastAsia" w:ascii="华文中宋" w:hAnsi="华文中宋" w:eastAsia="华文中宋"/>
          <w:sz w:val="72"/>
          <w:lang w:val="en-US" w:eastAsia="zh-CN"/>
        </w:rPr>
        <w:t>7</w:t>
      </w:r>
      <w:r>
        <w:rPr>
          <w:rFonts w:hint="eastAsia" w:ascii="华文中宋" w:hAnsi="华文中宋" w:eastAsia="华文中宋"/>
          <w:sz w:val="72"/>
        </w:rPr>
        <w:t>学年</w:t>
      </w:r>
    </w:p>
    <w:p>
      <w:pPr>
        <w:jc w:val="center"/>
        <w:rPr>
          <w:rFonts w:ascii="华文中宋" w:hAnsi="华文中宋" w:eastAsia="华文中宋"/>
          <w:sz w:val="72"/>
        </w:rPr>
      </w:pPr>
      <w:r>
        <w:rPr>
          <w:rFonts w:hint="eastAsia" w:ascii="华文中宋" w:hAnsi="华文中宋" w:eastAsia="华文中宋"/>
          <w:sz w:val="72"/>
        </w:rPr>
        <w:t>本科教学质量报告</w:t>
      </w:r>
    </w:p>
    <w:p>
      <w:pPr>
        <w:jc w:val="center"/>
        <w:rPr>
          <w:rFonts w:ascii="华文中宋" w:hAnsi="华文中宋" w:eastAsia="华文中宋"/>
          <w:sz w:val="72"/>
        </w:rPr>
      </w:pPr>
    </w:p>
    <w:p>
      <w:pPr>
        <w:jc w:val="center"/>
        <w:rPr>
          <w:rFonts w:ascii="华文中宋" w:hAnsi="华文中宋" w:eastAsia="华文中宋"/>
          <w:sz w:val="72"/>
        </w:rPr>
      </w:pPr>
    </w:p>
    <w:p>
      <w:pPr>
        <w:jc w:val="center"/>
        <w:rPr>
          <w:rFonts w:ascii="华文中宋" w:hAnsi="华文中宋" w:eastAsia="华文中宋"/>
          <w:sz w:val="72"/>
        </w:rPr>
      </w:pPr>
    </w:p>
    <w:p>
      <w:pPr>
        <w:jc w:val="center"/>
        <w:rPr>
          <w:rFonts w:ascii="华文中宋" w:hAnsi="华文中宋" w:eastAsia="华文中宋"/>
          <w:sz w:val="72"/>
        </w:rPr>
      </w:pPr>
    </w:p>
    <w:p>
      <w:pPr>
        <w:jc w:val="center"/>
        <w:rPr>
          <w:rFonts w:ascii="黑体" w:hAnsi="华文中宋" w:eastAsia="黑体"/>
          <w:sz w:val="36"/>
        </w:rPr>
      </w:pPr>
      <w:r>
        <w:rPr>
          <w:rFonts w:hint="eastAsia" w:ascii="黑体" w:hAnsi="华文中宋" w:eastAsia="黑体"/>
          <w:sz w:val="36"/>
        </w:rPr>
        <w:t>河海大学文天学院 编制</w:t>
      </w:r>
    </w:p>
    <w:p>
      <w:pPr>
        <w:jc w:val="center"/>
        <w:rPr>
          <w:rFonts w:ascii="黑体" w:hAnsi="华文中宋" w:eastAsia="黑体"/>
          <w:sz w:val="36"/>
        </w:rPr>
      </w:pPr>
      <w:r>
        <w:rPr>
          <w:rFonts w:hint="eastAsia" w:ascii="黑体" w:hAnsi="华文中宋" w:eastAsia="黑体"/>
          <w:sz w:val="36"/>
        </w:rPr>
        <w:t>201</w:t>
      </w:r>
      <w:r>
        <w:rPr>
          <w:rFonts w:hint="eastAsia" w:ascii="黑体" w:hAnsi="华文中宋" w:eastAsia="黑体"/>
          <w:sz w:val="36"/>
          <w:lang w:val="en-US" w:eastAsia="zh-CN"/>
        </w:rPr>
        <w:t>7</w:t>
      </w:r>
      <w:r>
        <w:rPr>
          <w:rFonts w:hint="eastAsia" w:ascii="黑体" w:hAnsi="华文中宋" w:eastAsia="黑体"/>
          <w:sz w:val="36"/>
        </w:rPr>
        <w:t>.1</w:t>
      </w:r>
      <w:r>
        <w:rPr>
          <w:rFonts w:hint="eastAsia" w:ascii="黑体" w:hAnsi="华文中宋" w:eastAsia="黑体"/>
          <w:sz w:val="36"/>
          <w:lang w:val="en-US" w:eastAsia="zh-CN"/>
        </w:rPr>
        <w:t>2</w:t>
      </w:r>
    </w:p>
    <w:p>
      <w:pPr>
        <w:widowControl/>
        <w:rPr>
          <w:rFonts w:ascii="黑体" w:eastAsia="黑体"/>
          <w:sz w:val="44"/>
          <w:szCs w:val="44"/>
        </w:rPr>
        <w:sectPr>
          <w:footerReference r:id="rId3" w:type="default"/>
          <w:pgSz w:w="11906" w:h="16838"/>
          <w:pgMar w:top="1440" w:right="1800" w:bottom="1440" w:left="1800" w:header="851" w:footer="992" w:gutter="0"/>
          <w:cols w:space="425" w:num="1"/>
          <w:docGrid w:type="lines" w:linePitch="312" w:charSpace="0"/>
        </w:sectPr>
      </w:pPr>
    </w:p>
    <w:p>
      <w:pPr>
        <w:widowControl/>
        <w:jc w:val="center"/>
        <w:rPr>
          <w:rFonts w:ascii="黑体" w:eastAsia="黑体"/>
          <w:sz w:val="44"/>
          <w:szCs w:val="44"/>
        </w:rPr>
      </w:pPr>
      <w:r>
        <w:rPr>
          <w:rFonts w:hint="eastAsia" w:ascii="黑体" w:eastAsia="黑体"/>
          <w:sz w:val="44"/>
          <w:szCs w:val="44"/>
        </w:rPr>
        <w:t>目</w:t>
      </w:r>
      <w:r>
        <w:rPr>
          <w:rFonts w:hint="eastAsia" w:ascii="黑体" w:eastAsia="黑体"/>
          <w:sz w:val="44"/>
          <w:szCs w:val="44"/>
          <w:lang w:val="en-US" w:eastAsia="zh-CN"/>
        </w:rPr>
        <w:t xml:space="preserve">  </w:t>
      </w:r>
      <w:r>
        <w:rPr>
          <w:rFonts w:hint="eastAsia" w:ascii="黑体" w:eastAsia="黑体"/>
          <w:sz w:val="44"/>
          <w:szCs w:val="44"/>
        </w:rPr>
        <w:t>录</w:t>
      </w:r>
    </w:p>
    <w:p>
      <w:pPr>
        <w:pStyle w:val="10"/>
        <w:tabs>
          <w:tab w:val="right" w:leader="hyphen" w:pos="8296"/>
        </w:tabs>
        <w:spacing w:line="360" w:lineRule="auto"/>
        <w:rPr>
          <w:sz w:val="24"/>
          <w:szCs w:val="24"/>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TOC \o "1-3" \h \u </w:instrText>
      </w:r>
      <w:r>
        <w:rPr>
          <w:rFonts w:hint="eastAsia" w:ascii="仿宋_GB2312" w:hAnsi="仿宋_GB2312" w:eastAsia="仿宋_GB2312" w:cs="仿宋_GB2312"/>
          <w:sz w:val="28"/>
          <w:szCs w:val="28"/>
        </w:rPr>
        <w:fldChar w:fldCharType="separate"/>
      </w:r>
      <w:r>
        <w:fldChar w:fldCharType="begin"/>
      </w:r>
      <w:r>
        <w:instrText xml:space="preserve"> HYPERLINK \l "_Toc469401088" </w:instrText>
      </w:r>
      <w:r>
        <w:fldChar w:fldCharType="separate"/>
      </w:r>
      <w:r>
        <w:rPr>
          <w:rStyle w:val="15"/>
          <w:sz w:val="24"/>
          <w:szCs w:val="24"/>
        </w:rPr>
        <w:t>第一部分</w:t>
      </w:r>
      <w:r>
        <w:rPr>
          <w:rStyle w:val="15"/>
          <w:rFonts w:hint="default"/>
          <w:sz w:val="24"/>
          <w:szCs w:val="24"/>
        </w:rPr>
        <w:t xml:space="preserve"> </w:t>
      </w:r>
      <w:r>
        <w:rPr>
          <w:rStyle w:val="15"/>
          <w:sz w:val="24"/>
          <w:szCs w:val="24"/>
        </w:rPr>
        <w:t>本科</w:t>
      </w:r>
      <w:r>
        <w:rPr>
          <w:rStyle w:val="15"/>
          <w:rFonts w:eastAsia="宋体"/>
          <w:sz w:val="24"/>
          <w:szCs w:val="24"/>
          <w:lang w:eastAsia="zh-CN"/>
        </w:rPr>
        <w:t>教育</w:t>
      </w:r>
      <w:r>
        <w:rPr>
          <w:rStyle w:val="15"/>
          <w:sz w:val="24"/>
          <w:szCs w:val="24"/>
        </w:rPr>
        <w:t>基本情况</w:t>
      </w:r>
      <w:r>
        <w:rPr>
          <w:sz w:val="24"/>
          <w:szCs w:val="24"/>
        </w:rPr>
        <w:tab/>
      </w:r>
      <w:r>
        <w:rPr>
          <w:sz w:val="24"/>
          <w:szCs w:val="24"/>
        </w:rPr>
        <w:fldChar w:fldCharType="begin"/>
      </w:r>
      <w:r>
        <w:rPr>
          <w:sz w:val="24"/>
          <w:szCs w:val="24"/>
        </w:rPr>
        <w:instrText xml:space="preserve"> PAGEREF _Toc469401088 \h </w:instrText>
      </w:r>
      <w:r>
        <w:rPr>
          <w:sz w:val="24"/>
          <w:szCs w:val="24"/>
        </w:rPr>
        <w:fldChar w:fldCharType="separate"/>
      </w:r>
      <w:r>
        <w:rPr>
          <w:sz w:val="24"/>
          <w:szCs w:val="24"/>
        </w:rPr>
        <w:t>1</w:t>
      </w:r>
      <w:r>
        <w:rPr>
          <w:sz w:val="24"/>
          <w:szCs w:val="24"/>
        </w:rPr>
        <w:fldChar w:fldCharType="end"/>
      </w:r>
      <w:r>
        <w:rPr>
          <w:sz w:val="24"/>
          <w:szCs w:val="24"/>
        </w:rPr>
        <w:fldChar w:fldCharType="end"/>
      </w:r>
    </w:p>
    <w:p>
      <w:pPr>
        <w:pStyle w:val="11"/>
        <w:tabs>
          <w:tab w:val="right" w:leader="hyphen" w:pos="8296"/>
        </w:tabs>
        <w:spacing w:line="360" w:lineRule="auto"/>
        <w:rPr>
          <w:sz w:val="24"/>
          <w:szCs w:val="24"/>
        </w:rPr>
      </w:pPr>
      <w:r>
        <w:fldChar w:fldCharType="begin"/>
      </w:r>
      <w:r>
        <w:instrText xml:space="preserve"> HYPERLINK \l "_Toc469401089" </w:instrText>
      </w:r>
      <w:r>
        <w:fldChar w:fldCharType="separate"/>
      </w:r>
      <w:r>
        <w:rPr>
          <w:rStyle w:val="15"/>
          <w:sz w:val="24"/>
          <w:szCs w:val="24"/>
        </w:rPr>
        <w:t>一、学院概况</w:t>
      </w:r>
      <w:r>
        <w:rPr>
          <w:sz w:val="24"/>
          <w:szCs w:val="24"/>
        </w:rPr>
        <w:tab/>
      </w:r>
      <w:r>
        <w:rPr>
          <w:sz w:val="24"/>
          <w:szCs w:val="24"/>
        </w:rPr>
        <w:fldChar w:fldCharType="begin"/>
      </w:r>
      <w:r>
        <w:rPr>
          <w:sz w:val="24"/>
          <w:szCs w:val="24"/>
        </w:rPr>
        <w:instrText xml:space="preserve"> PAGEREF _Toc469401089 \h </w:instrText>
      </w:r>
      <w:r>
        <w:rPr>
          <w:sz w:val="24"/>
          <w:szCs w:val="24"/>
        </w:rPr>
        <w:fldChar w:fldCharType="separate"/>
      </w:r>
      <w:r>
        <w:rPr>
          <w:sz w:val="24"/>
          <w:szCs w:val="24"/>
        </w:rPr>
        <w:t>1</w:t>
      </w:r>
      <w:r>
        <w:rPr>
          <w:sz w:val="24"/>
          <w:szCs w:val="24"/>
        </w:rPr>
        <w:fldChar w:fldCharType="end"/>
      </w:r>
      <w:r>
        <w:rPr>
          <w:sz w:val="24"/>
          <w:szCs w:val="24"/>
        </w:rPr>
        <w:fldChar w:fldCharType="end"/>
      </w:r>
    </w:p>
    <w:p>
      <w:pPr>
        <w:pStyle w:val="11"/>
        <w:tabs>
          <w:tab w:val="right" w:leader="hyphen" w:pos="8296"/>
        </w:tabs>
        <w:spacing w:line="360" w:lineRule="auto"/>
        <w:rPr>
          <w:sz w:val="24"/>
          <w:szCs w:val="24"/>
        </w:rPr>
      </w:pPr>
      <w:r>
        <w:fldChar w:fldCharType="begin"/>
      </w:r>
      <w:r>
        <w:instrText xml:space="preserve"> HYPERLINK \l "_Toc469401090" </w:instrText>
      </w:r>
      <w:r>
        <w:fldChar w:fldCharType="separate"/>
      </w:r>
      <w:r>
        <w:rPr>
          <w:rStyle w:val="15"/>
          <w:sz w:val="24"/>
          <w:szCs w:val="24"/>
        </w:rPr>
        <w:t>二、办学定位及服务面向</w:t>
      </w:r>
      <w:r>
        <w:rPr>
          <w:sz w:val="24"/>
          <w:szCs w:val="24"/>
        </w:rPr>
        <w:tab/>
      </w:r>
      <w:r>
        <w:rPr>
          <w:sz w:val="24"/>
          <w:szCs w:val="24"/>
        </w:rPr>
        <w:fldChar w:fldCharType="begin"/>
      </w:r>
      <w:r>
        <w:rPr>
          <w:sz w:val="24"/>
          <w:szCs w:val="24"/>
        </w:rPr>
        <w:instrText xml:space="preserve"> PAGEREF _Toc469401090 \h </w:instrText>
      </w:r>
      <w:r>
        <w:rPr>
          <w:sz w:val="24"/>
          <w:szCs w:val="24"/>
        </w:rPr>
        <w:fldChar w:fldCharType="separate"/>
      </w:r>
      <w:r>
        <w:rPr>
          <w:sz w:val="24"/>
          <w:szCs w:val="24"/>
        </w:rPr>
        <w:t>2</w:t>
      </w:r>
      <w:r>
        <w:rPr>
          <w:sz w:val="24"/>
          <w:szCs w:val="24"/>
        </w:rPr>
        <w:fldChar w:fldCharType="end"/>
      </w:r>
      <w:r>
        <w:rPr>
          <w:sz w:val="24"/>
          <w:szCs w:val="24"/>
        </w:rPr>
        <w:fldChar w:fldCharType="end"/>
      </w:r>
    </w:p>
    <w:p>
      <w:pPr>
        <w:pStyle w:val="11"/>
        <w:tabs>
          <w:tab w:val="right" w:leader="hyphen" w:pos="8296"/>
        </w:tabs>
        <w:spacing w:line="360" w:lineRule="auto"/>
        <w:rPr>
          <w:sz w:val="24"/>
          <w:szCs w:val="24"/>
        </w:rPr>
      </w:pPr>
      <w:r>
        <w:fldChar w:fldCharType="begin"/>
      </w:r>
      <w:r>
        <w:instrText xml:space="preserve"> HYPERLINK \l "_Toc469401091" </w:instrText>
      </w:r>
      <w:r>
        <w:fldChar w:fldCharType="separate"/>
      </w:r>
      <w:r>
        <w:rPr>
          <w:rStyle w:val="15"/>
          <w:sz w:val="24"/>
          <w:szCs w:val="24"/>
        </w:rPr>
        <w:t>三、本科专业设置情况</w:t>
      </w:r>
      <w:r>
        <w:rPr>
          <w:sz w:val="24"/>
          <w:szCs w:val="24"/>
        </w:rPr>
        <w:tab/>
      </w:r>
      <w:r>
        <w:rPr>
          <w:sz w:val="24"/>
          <w:szCs w:val="24"/>
        </w:rPr>
        <w:fldChar w:fldCharType="begin"/>
      </w:r>
      <w:r>
        <w:rPr>
          <w:sz w:val="24"/>
          <w:szCs w:val="24"/>
        </w:rPr>
        <w:instrText xml:space="preserve"> PAGEREF _Toc469401091 \h </w:instrText>
      </w:r>
      <w:r>
        <w:rPr>
          <w:sz w:val="24"/>
          <w:szCs w:val="24"/>
        </w:rPr>
        <w:fldChar w:fldCharType="separate"/>
      </w:r>
      <w:r>
        <w:rPr>
          <w:sz w:val="24"/>
          <w:szCs w:val="24"/>
        </w:rPr>
        <w:t>2</w:t>
      </w:r>
      <w:r>
        <w:rPr>
          <w:sz w:val="24"/>
          <w:szCs w:val="24"/>
        </w:rPr>
        <w:fldChar w:fldCharType="end"/>
      </w:r>
      <w:r>
        <w:rPr>
          <w:sz w:val="24"/>
          <w:szCs w:val="24"/>
        </w:rPr>
        <w:fldChar w:fldCharType="end"/>
      </w:r>
    </w:p>
    <w:p>
      <w:pPr>
        <w:pStyle w:val="11"/>
        <w:tabs>
          <w:tab w:val="right" w:leader="hyphen" w:pos="8296"/>
        </w:tabs>
        <w:spacing w:line="360" w:lineRule="auto"/>
        <w:rPr>
          <w:sz w:val="24"/>
          <w:szCs w:val="24"/>
        </w:rPr>
      </w:pPr>
      <w:r>
        <w:fldChar w:fldCharType="begin"/>
      </w:r>
      <w:r>
        <w:instrText xml:space="preserve"> HYPERLINK \l "_Toc469401092" </w:instrText>
      </w:r>
      <w:r>
        <w:fldChar w:fldCharType="separate"/>
      </w:r>
      <w:r>
        <w:rPr>
          <w:rStyle w:val="15"/>
          <w:sz w:val="24"/>
          <w:szCs w:val="24"/>
        </w:rPr>
        <w:t>四、在校生及招生情况</w:t>
      </w:r>
      <w:r>
        <w:rPr>
          <w:sz w:val="24"/>
          <w:szCs w:val="24"/>
        </w:rPr>
        <w:tab/>
      </w:r>
      <w:r>
        <w:rPr>
          <w:sz w:val="24"/>
          <w:szCs w:val="24"/>
        </w:rPr>
        <w:fldChar w:fldCharType="begin"/>
      </w:r>
      <w:r>
        <w:rPr>
          <w:sz w:val="24"/>
          <w:szCs w:val="24"/>
        </w:rPr>
        <w:instrText xml:space="preserve"> PAGEREF _Toc469401092 \h </w:instrText>
      </w:r>
      <w:r>
        <w:rPr>
          <w:sz w:val="24"/>
          <w:szCs w:val="24"/>
        </w:rPr>
        <w:fldChar w:fldCharType="separate"/>
      </w:r>
      <w:r>
        <w:rPr>
          <w:sz w:val="24"/>
          <w:szCs w:val="24"/>
        </w:rPr>
        <w:t>3</w:t>
      </w:r>
      <w:r>
        <w:rPr>
          <w:sz w:val="24"/>
          <w:szCs w:val="24"/>
        </w:rPr>
        <w:fldChar w:fldCharType="end"/>
      </w:r>
      <w:r>
        <w:rPr>
          <w:sz w:val="24"/>
          <w:szCs w:val="24"/>
        </w:rPr>
        <w:fldChar w:fldCharType="end"/>
      </w:r>
    </w:p>
    <w:p>
      <w:pPr>
        <w:pStyle w:val="10"/>
        <w:tabs>
          <w:tab w:val="right" w:leader="hyphen" w:pos="8296"/>
        </w:tabs>
        <w:spacing w:line="360" w:lineRule="auto"/>
        <w:rPr>
          <w:sz w:val="24"/>
          <w:szCs w:val="24"/>
        </w:rPr>
      </w:pPr>
      <w:r>
        <w:fldChar w:fldCharType="begin"/>
      </w:r>
      <w:r>
        <w:instrText xml:space="preserve"> HYPERLINK \l "_Toc469401093" </w:instrText>
      </w:r>
      <w:r>
        <w:fldChar w:fldCharType="separate"/>
      </w:r>
      <w:r>
        <w:rPr>
          <w:rStyle w:val="15"/>
          <w:sz w:val="24"/>
          <w:szCs w:val="24"/>
        </w:rPr>
        <w:t>第二部分</w:t>
      </w:r>
      <w:r>
        <w:rPr>
          <w:rStyle w:val="15"/>
          <w:rFonts w:hint="default"/>
          <w:sz w:val="24"/>
          <w:szCs w:val="24"/>
        </w:rPr>
        <w:t xml:space="preserve"> </w:t>
      </w:r>
      <w:r>
        <w:rPr>
          <w:rStyle w:val="15"/>
          <w:sz w:val="24"/>
          <w:szCs w:val="24"/>
        </w:rPr>
        <w:t>师资与教学条件</w:t>
      </w:r>
      <w:r>
        <w:rPr>
          <w:sz w:val="24"/>
          <w:szCs w:val="24"/>
        </w:rPr>
        <w:tab/>
      </w:r>
      <w:r>
        <w:rPr>
          <w:sz w:val="24"/>
          <w:szCs w:val="24"/>
        </w:rPr>
        <w:fldChar w:fldCharType="begin"/>
      </w:r>
      <w:r>
        <w:rPr>
          <w:sz w:val="24"/>
          <w:szCs w:val="24"/>
        </w:rPr>
        <w:instrText xml:space="preserve"> PAGEREF _Toc469401093 \h </w:instrText>
      </w:r>
      <w:r>
        <w:rPr>
          <w:sz w:val="24"/>
          <w:szCs w:val="24"/>
        </w:rPr>
        <w:fldChar w:fldCharType="separate"/>
      </w:r>
      <w:r>
        <w:rPr>
          <w:sz w:val="24"/>
          <w:szCs w:val="24"/>
        </w:rPr>
        <w:t>4</w:t>
      </w:r>
      <w:r>
        <w:rPr>
          <w:sz w:val="24"/>
          <w:szCs w:val="24"/>
        </w:rPr>
        <w:fldChar w:fldCharType="end"/>
      </w:r>
      <w:r>
        <w:rPr>
          <w:sz w:val="24"/>
          <w:szCs w:val="24"/>
        </w:rPr>
        <w:fldChar w:fldCharType="end"/>
      </w:r>
    </w:p>
    <w:p>
      <w:pPr>
        <w:pStyle w:val="11"/>
        <w:tabs>
          <w:tab w:val="right" w:leader="hyphen" w:pos="8296"/>
        </w:tabs>
        <w:spacing w:line="360" w:lineRule="auto"/>
        <w:rPr>
          <w:sz w:val="24"/>
          <w:szCs w:val="24"/>
        </w:rPr>
      </w:pPr>
      <w:r>
        <w:fldChar w:fldCharType="begin"/>
      </w:r>
      <w:r>
        <w:instrText xml:space="preserve"> HYPERLINK \l "_Toc469401094" </w:instrText>
      </w:r>
      <w:r>
        <w:fldChar w:fldCharType="separate"/>
      </w:r>
      <w:r>
        <w:rPr>
          <w:rStyle w:val="15"/>
          <w:sz w:val="24"/>
          <w:szCs w:val="24"/>
        </w:rPr>
        <w:t>一、教师队伍基本情况及建设举措</w:t>
      </w:r>
      <w:r>
        <w:rPr>
          <w:sz w:val="24"/>
          <w:szCs w:val="24"/>
        </w:rPr>
        <w:tab/>
      </w:r>
      <w:r>
        <w:rPr>
          <w:sz w:val="24"/>
          <w:szCs w:val="24"/>
        </w:rPr>
        <w:fldChar w:fldCharType="begin"/>
      </w:r>
      <w:r>
        <w:rPr>
          <w:sz w:val="24"/>
          <w:szCs w:val="24"/>
        </w:rPr>
        <w:instrText xml:space="preserve"> PAGEREF _Toc469401094 \h </w:instrText>
      </w:r>
      <w:r>
        <w:rPr>
          <w:sz w:val="24"/>
          <w:szCs w:val="24"/>
        </w:rPr>
        <w:fldChar w:fldCharType="separate"/>
      </w:r>
      <w:r>
        <w:rPr>
          <w:sz w:val="24"/>
          <w:szCs w:val="24"/>
        </w:rPr>
        <w:t>4</w:t>
      </w:r>
      <w:r>
        <w:rPr>
          <w:sz w:val="24"/>
          <w:szCs w:val="24"/>
        </w:rPr>
        <w:fldChar w:fldCharType="end"/>
      </w:r>
      <w:r>
        <w:rPr>
          <w:sz w:val="24"/>
          <w:szCs w:val="24"/>
        </w:rPr>
        <w:fldChar w:fldCharType="end"/>
      </w:r>
    </w:p>
    <w:p>
      <w:pPr>
        <w:pStyle w:val="5"/>
        <w:tabs>
          <w:tab w:val="right" w:leader="hyphen" w:pos="8296"/>
        </w:tabs>
        <w:spacing w:line="360" w:lineRule="auto"/>
        <w:rPr>
          <w:sz w:val="24"/>
          <w:szCs w:val="24"/>
        </w:rPr>
      </w:pPr>
      <w:r>
        <w:fldChar w:fldCharType="begin"/>
      </w:r>
      <w:r>
        <w:instrText xml:space="preserve"> HYPERLINK \l "_Toc469401095" </w:instrText>
      </w:r>
      <w:r>
        <w:fldChar w:fldCharType="separate"/>
      </w:r>
      <w:r>
        <w:rPr>
          <w:rStyle w:val="15"/>
          <w:rFonts w:hint="default"/>
          <w:sz w:val="24"/>
          <w:szCs w:val="24"/>
        </w:rPr>
        <w:t>1.</w:t>
      </w:r>
      <w:r>
        <w:rPr>
          <w:rStyle w:val="15"/>
          <w:sz w:val="24"/>
          <w:szCs w:val="24"/>
        </w:rPr>
        <w:t>师资队伍数量与结构</w:t>
      </w:r>
      <w:r>
        <w:rPr>
          <w:sz w:val="24"/>
          <w:szCs w:val="24"/>
        </w:rPr>
        <w:tab/>
      </w:r>
      <w:r>
        <w:rPr>
          <w:sz w:val="24"/>
          <w:szCs w:val="24"/>
        </w:rPr>
        <w:fldChar w:fldCharType="begin"/>
      </w:r>
      <w:r>
        <w:rPr>
          <w:sz w:val="24"/>
          <w:szCs w:val="24"/>
        </w:rPr>
        <w:instrText xml:space="preserve"> PAGEREF _Toc469401095 \h </w:instrText>
      </w:r>
      <w:r>
        <w:rPr>
          <w:sz w:val="24"/>
          <w:szCs w:val="24"/>
        </w:rPr>
        <w:fldChar w:fldCharType="separate"/>
      </w:r>
      <w:r>
        <w:rPr>
          <w:sz w:val="24"/>
          <w:szCs w:val="24"/>
        </w:rPr>
        <w:t>4</w:t>
      </w:r>
      <w:r>
        <w:rPr>
          <w:sz w:val="24"/>
          <w:szCs w:val="24"/>
        </w:rPr>
        <w:fldChar w:fldCharType="end"/>
      </w:r>
      <w:r>
        <w:rPr>
          <w:sz w:val="24"/>
          <w:szCs w:val="24"/>
        </w:rPr>
        <w:fldChar w:fldCharType="end"/>
      </w:r>
    </w:p>
    <w:p>
      <w:pPr>
        <w:pStyle w:val="5"/>
        <w:tabs>
          <w:tab w:val="right" w:leader="hyphen" w:pos="8296"/>
        </w:tabs>
        <w:spacing w:line="360" w:lineRule="auto"/>
        <w:rPr>
          <w:sz w:val="24"/>
          <w:szCs w:val="24"/>
        </w:rPr>
      </w:pPr>
      <w:r>
        <w:fldChar w:fldCharType="begin"/>
      </w:r>
      <w:r>
        <w:instrText xml:space="preserve"> HYPERLINK \l "_Toc469401096" </w:instrText>
      </w:r>
      <w:r>
        <w:fldChar w:fldCharType="separate"/>
      </w:r>
      <w:r>
        <w:rPr>
          <w:rStyle w:val="15"/>
          <w:rFonts w:hint="default"/>
          <w:sz w:val="24"/>
          <w:szCs w:val="24"/>
        </w:rPr>
        <w:t>2.</w:t>
      </w:r>
      <w:r>
        <w:rPr>
          <w:rStyle w:val="15"/>
          <w:sz w:val="24"/>
          <w:szCs w:val="24"/>
        </w:rPr>
        <w:t>师资队伍建设举措</w:t>
      </w:r>
      <w:r>
        <w:rPr>
          <w:sz w:val="24"/>
          <w:szCs w:val="24"/>
        </w:rPr>
        <w:tab/>
      </w:r>
      <w:r>
        <w:rPr>
          <w:sz w:val="24"/>
          <w:szCs w:val="24"/>
        </w:rPr>
        <w:fldChar w:fldCharType="begin"/>
      </w:r>
      <w:r>
        <w:rPr>
          <w:sz w:val="24"/>
          <w:szCs w:val="24"/>
        </w:rPr>
        <w:instrText xml:space="preserve"> PAGEREF _Toc469401096 \h </w:instrText>
      </w:r>
      <w:r>
        <w:rPr>
          <w:sz w:val="24"/>
          <w:szCs w:val="24"/>
        </w:rPr>
        <w:fldChar w:fldCharType="separate"/>
      </w:r>
      <w:r>
        <w:rPr>
          <w:sz w:val="24"/>
          <w:szCs w:val="24"/>
        </w:rPr>
        <w:t>4</w:t>
      </w:r>
      <w:r>
        <w:rPr>
          <w:sz w:val="24"/>
          <w:szCs w:val="24"/>
        </w:rPr>
        <w:fldChar w:fldCharType="end"/>
      </w:r>
      <w:r>
        <w:rPr>
          <w:sz w:val="24"/>
          <w:szCs w:val="24"/>
        </w:rPr>
        <w:fldChar w:fldCharType="end"/>
      </w:r>
    </w:p>
    <w:p>
      <w:pPr>
        <w:pStyle w:val="11"/>
        <w:tabs>
          <w:tab w:val="right" w:leader="hyphen" w:pos="8296"/>
        </w:tabs>
        <w:spacing w:line="360" w:lineRule="auto"/>
        <w:rPr>
          <w:sz w:val="24"/>
          <w:szCs w:val="24"/>
        </w:rPr>
      </w:pPr>
      <w:r>
        <w:fldChar w:fldCharType="begin"/>
      </w:r>
      <w:r>
        <w:instrText xml:space="preserve"> HYPERLINK \l "_Toc469401097" </w:instrText>
      </w:r>
      <w:r>
        <w:fldChar w:fldCharType="separate"/>
      </w:r>
      <w:r>
        <w:rPr>
          <w:rStyle w:val="15"/>
          <w:sz w:val="24"/>
          <w:szCs w:val="24"/>
        </w:rPr>
        <w:t>二、 教学条件与利用情况</w:t>
      </w:r>
      <w:r>
        <w:rPr>
          <w:sz w:val="24"/>
          <w:szCs w:val="24"/>
        </w:rPr>
        <w:tab/>
      </w:r>
      <w:r>
        <w:rPr>
          <w:sz w:val="24"/>
          <w:szCs w:val="24"/>
        </w:rPr>
        <w:fldChar w:fldCharType="begin"/>
      </w:r>
      <w:r>
        <w:rPr>
          <w:sz w:val="24"/>
          <w:szCs w:val="24"/>
        </w:rPr>
        <w:instrText xml:space="preserve"> PAGEREF _Toc469401097 \h </w:instrText>
      </w:r>
      <w:r>
        <w:rPr>
          <w:sz w:val="24"/>
          <w:szCs w:val="24"/>
        </w:rPr>
        <w:fldChar w:fldCharType="separate"/>
      </w:r>
      <w:r>
        <w:rPr>
          <w:sz w:val="24"/>
          <w:szCs w:val="24"/>
        </w:rPr>
        <w:t>5</w:t>
      </w:r>
      <w:r>
        <w:rPr>
          <w:sz w:val="24"/>
          <w:szCs w:val="24"/>
        </w:rPr>
        <w:fldChar w:fldCharType="end"/>
      </w:r>
      <w:r>
        <w:rPr>
          <w:sz w:val="24"/>
          <w:szCs w:val="24"/>
        </w:rPr>
        <w:fldChar w:fldCharType="end"/>
      </w:r>
    </w:p>
    <w:p>
      <w:pPr>
        <w:pStyle w:val="5"/>
        <w:tabs>
          <w:tab w:val="right" w:leader="hyphen" w:pos="8296"/>
        </w:tabs>
        <w:spacing w:line="360" w:lineRule="auto"/>
        <w:rPr>
          <w:sz w:val="24"/>
          <w:szCs w:val="24"/>
        </w:rPr>
      </w:pPr>
      <w:r>
        <w:fldChar w:fldCharType="begin"/>
      </w:r>
      <w:r>
        <w:instrText xml:space="preserve"> HYPERLINK \l "_Toc469401098" </w:instrText>
      </w:r>
      <w:r>
        <w:fldChar w:fldCharType="separate"/>
      </w:r>
      <w:r>
        <w:rPr>
          <w:rStyle w:val="15"/>
          <w:rFonts w:hint="default"/>
          <w:sz w:val="24"/>
          <w:szCs w:val="24"/>
        </w:rPr>
        <w:t>1.</w:t>
      </w:r>
      <w:r>
        <w:rPr>
          <w:rStyle w:val="15"/>
          <w:sz w:val="24"/>
          <w:szCs w:val="24"/>
        </w:rPr>
        <w:t xml:space="preserve"> 教学经费投入</w:t>
      </w:r>
      <w:r>
        <w:rPr>
          <w:sz w:val="24"/>
          <w:szCs w:val="24"/>
        </w:rPr>
        <w:tab/>
      </w:r>
      <w:r>
        <w:rPr>
          <w:sz w:val="24"/>
          <w:szCs w:val="24"/>
        </w:rPr>
        <w:fldChar w:fldCharType="begin"/>
      </w:r>
      <w:r>
        <w:rPr>
          <w:sz w:val="24"/>
          <w:szCs w:val="24"/>
        </w:rPr>
        <w:instrText xml:space="preserve"> PAGEREF _Toc469401098 \h </w:instrText>
      </w:r>
      <w:r>
        <w:rPr>
          <w:sz w:val="24"/>
          <w:szCs w:val="24"/>
        </w:rPr>
        <w:fldChar w:fldCharType="separate"/>
      </w:r>
      <w:r>
        <w:rPr>
          <w:sz w:val="24"/>
          <w:szCs w:val="24"/>
        </w:rPr>
        <w:t>5</w:t>
      </w:r>
      <w:r>
        <w:rPr>
          <w:sz w:val="24"/>
          <w:szCs w:val="24"/>
        </w:rPr>
        <w:fldChar w:fldCharType="end"/>
      </w:r>
      <w:r>
        <w:rPr>
          <w:sz w:val="24"/>
          <w:szCs w:val="24"/>
        </w:rPr>
        <w:fldChar w:fldCharType="end"/>
      </w:r>
    </w:p>
    <w:p>
      <w:pPr>
        <w:pStyle w:val="5"/>
        <w:tabs>
          <w:tab w:val="right" w:leader="hyphen" w:pos="8296"/>
        </w:tabs>
        <w:spacing w:line="360" w:lineRule="auto"/>
        <w:rPr>
          <w:sz w:val="24"/>
          <w:szCs w:val="24"/>
        </w:rPr>
      </w:pPr>
      <w:r>
        <w:fldChar w:fldCharType="begin"/>
      </w:r>
      <w:r>
        <w:instrText xml:space="preserve"> HYPERLINK \l "_Toc469401099" </w:instrText>
      </w:r>
      <w:r>
        <w:fldChar w:fldCharType="separate"/>
      </w:r>
      <w:r>
        <w:rPr>
          <w:rStyle w:val="15"/>
          <w:rFonts w:hint="default"/>
          <w:sz w:val="24"/>
          <w:szCs w:val="24"/>
        </w:rPr>
        <w:t>2.</w:t>
      </w:r>
      <w:r>
        <w:rPr>
          <w:rStyle w:val="15"/>
          <w:sz w:val="24"/>
          <w:szCs w:val="24"/>
        </w:rPr>
        <w:t xml:space="preserve"> 教学基础设施</w:t>
      </w:r>
      <w:r>
        <w:rPr>
          <w:sz w:val="24"/>
          <w:szCs w:val="24"/>
        </w:rPr>
        <w:tab/>
      </w:r>
      <w:r>
        <w:rPr>
          <w:sz w:val="24"/>
          <w:szCs w:val="24"/>
        </w:rPr>
        <w:fldChar w:fldCharType="begin"/>
      </w:r>
      <w:r>
        <w:rPr>
          <w:sz w:val="24"/>
          <w:szCs w:val="24"/>
        </w:rPr>
        <w:instrText xml:space="preserve"> PAGEREF _Toc469401099 \h </w:instrText>
      </w:r>
      <w:r>
        <w:rPr>
          <w:sz w:val="24"/>
          <w:szCs w:val="24"/>
        </w:rPr>
        <w:fldChar w:fldCharType="separate"/>
      </w:r>
      <w:r>
        <w:rPr>
          <w:sz w:val="24"/>
          <w:szCs w:val="24"/>
        </w:rPr>
        <w:t>6</w:t>
      </w:r>
      <w:r>
        <w:rPr>
          <w:sz w:val="24"/>
          <w:szCs w:val="24"/>
        </w:rPr>
        <w:fldChar w:fldCharType="end"/>
      </w:r>
      <w:r>
        <w:rPr>
          <w:sz w:val="24"/>
          <w:szCs w:val="24"/>
        </w:rPr>
        <w:fldChar w:fldCharType="end"/>
      </w:r>
    </w:p>
    <w:p>
      <w:pPr>
        <w:pStyle w:val="5"/>
        <w:tabs>
          <w:tab w:val="right" w:leader="hyphen" w:pos="8296"/>
        </w:tabs>
        <w:spacing w:line="360" w:lineRule="auto"/>
        <w:rPr>
          <w:sz w:val="24"/>
          <w:szCs w:val="24"/>
        </w:rPr>
      </w:pPr>
      <w:r>
        <w:fldChar w:fldCharType="begin"/>
      </w:r>
      <w:r>
        <w:instrText xml:space="preserve"> HYPERLINK \l "_Toc469401100" </w:instrText>
      </w:r>
      <w:r>
        <w:fldChar w:fldCharType="separate"/>
      </w:r>
      <w:r>
        <w:rPr>
          <w:rStyle w:val="15"/>
          <w:rFonts w:hint="default"/>
          <w:sz w:val="24"/>
          <w:szCs w:val="24"/>
        </w:rPr>
        <w:t>3.</w:t>
      </w:r>
      <w:r>
        <w:rPr>
          <w:rStyle w:val="15"/>
          <w:sz w:val="24"/>
          <w:szCs w:val="24"/>
        </w:rPr>
        <w:t xml:space="preserve"> 图书及应用</w:t>
      </w:r>
      <w:r>
        <w:rPr>
          <w:sz w:val="24"/>
          <w:szCs w:val="24"/>
        </w:rPr>
        <w:tab/>
      </w:r>
      <w:r>
        <w:rPr>
          <w:sz w:val="24"/>
          <w:szCs w:val="24"/>
        </w:rPr>
        <w:fldChar w:fldCharType="begin"/>
      </w:r>
      <w:r>
        <w:rPr>
          <w:sz w:val="24"/>
          <w:szCs w:val="24"/>
        </w:rPr>
        <w:instrText xml:space="preserve"> PAGEREF _Toc469401100 \h </w:instrText>
      </w:r>
      <w:r>
        <w:rPr>
          <w:sz w:val="24"/>
          <w:szCs w:val="24"/>
        </w:rPr>
        <w:fldChar w:fldCharType="separate"/>
      </w:r>
      <w:r>
        <w:rPr>
          <w:sz w:val="24"/>
          <w:szCs w:val="24"/>
        </w:rPr>
        <w:t>6</w:t>
      </w:r>
      <w:r>
        <w:rPr>
          <w:sz w:val="24"/>
          <w:szCs w:val="24"/>
        </w:rPr>
        <w:fldChar w:fldCharType="end"/>
      </w:r>
      <w:r>
        <w:rPr>
          <w:sz w:val="24"/>
          <w:szCs w:val="24"/>
        </w:rPr>
        <w:fldChar w:fldCharType="end"/>
      </w:r>
    </w:p>
    <w:p>
      <w:pPr>
        <w:pStyle w:val="5"/>
        <w:tabs>
          <w:tab w:val="right" w:leader="hyphen" w:pos="8296"/>
        </w:tabs>
        <w:spacing w:line="360" w:lineRule="auto"/>
        <w:rPr>
          <w:sz w:val="24"/>
          <w:szCs w:val="24"/>
        </w:rPr>
      </w:pPr>
      <w:r>
        <w:fldChar w:fldCharType="begin"/>
      </w:r>
      <w:r>
        <w:instrText xml:space="preserve"> HYPERLINK \l "_Toc469401101" </w:instrText>
      </w:r>
      <w:r>
        <w:fldChar w:fldCharType="separate"/>
      </w:r>
      <w:r>
        <w:rPr>
          <w:rStyle w:val="15"/>
          <w:rFonts w:hint="default"/>
          <w:sz w:val="24"/>
          <w:szCs w:val="24"/>
        </w:rPr>
        <w:t>4.</w:t>
      </w:r>
      <w:r>
        <w:rPr>
          <w:rStyle w:val="15"/>
          <w:sz w:val="24"/>
          <w:szCs w:val="24"/>
        </w:rPr>
        <w:t xml:space="preserve"> 信息化校园建设</w:t>
      </w:r>
      <w:r>
        <w:rPr>
          <w:sz w:val="24"/>
          <w:szCs w:val="24"/>
        </w:rPr>
        <w:tab/>
      </w:r>
      <w:r>
        <w:rPr>
          <w:sz w:val="24"/>
          <w:szCs w:val="24"/>
        </w:rPr>
        <w:fldChar w:fldCharType="begin"/>
      </w:r>
      <w:r>
        <w:rPr>
          <w:sz w:val="24"/>
          <w:szCs w:val="24"/>
        </w:rPr>
        <w:instrText xml:space="preserve"> PAGEREF _Toc469401101 \h </w:instrText>
      </w:r>
      <w:r>
        <w:rPr>
          <w:sz w:val="24"/>
          <w:szCs w:val="24"/>
        </w:rPr>
        <w:fldChar w:fldCharType="separate"/>
      </w:r>
      <w:r>
        <w:rPr>
          <w:sz w:val="24"/>
          <w:szCs w:val="24"/>
        </w:rPr>
        <w:t>6</w:t>
      </w:r>
      <w:r>
        <w:rPr>
          <w:sz w:val="24"/>
          <w:szCs w:val="24"/>
        </w:rPr>
        <w:fldChar w:fldCharType="end"/>
      </w:r>
      <w:r>
        <w:rPr>
          <w:sz w:val="24"/>
          <w:szCs w:val="24"/>
        </w:rPr>
        <w:fldChar w:fldCharType="end"/>
      </w:r>
    </w:p>
    <w:p>
      <w:pPr>
        <w:pStyle w:val="10"/>
        <w:tabs>
          <w:tab w:val="right" w:leader="hyphen" w:pos="8296"/>
        </w:tabs>
        <w:spacing w:line="360" w:lineRule="auto"/>
        <w:rPr>
          <w:sz w:val="24"/>
          <w:szCs w:val="24"/>
        </w:rPr>
      </w:pPr>
      <w:r>
        <w:fldChar w:fldCharType="begin"/>
      </w:r>
      <w:r>
        <w:instrText xml:space="preserve"> HYPERLINK \l "_Toc469401102" </w:instrText>
      </w:r>
      <w:r>
        <w:fldChar w:fldCharType="separate"/>
      </w:r>
      <w:r>
        <w:rPr>
          <w:rStyle w:val="15"/>
          <w:sz w:val="24"/>
          <w:szCs w:val="24"/>
        </w:rPr>
        <w:t>第三部分</w:t>
      </w:r>
      <w:r>
        <w:rPr>
          <w:rStyle w:val="15"/>
          <w:rFonts w:hint="default"/>
          <w:sz w:val="24"/>
          <w:szCs w:val="24"/>
        </w:rPr>
        <w:t xml:space="preserve"> </w:t>
      </w:r>
      <w:r>
        <w:rPr>
          <w:rStyle w:val="15"/>
          <w:sz w:val="24"/>
          <w:szCs w:val="24"/>
        </w:rPr>
        <w:t>教学建设与改革</w:t>
      </w:r>
      <w:r>
        <w:rPr>
          <w:sz w:val="24"/>
          <w:szCs w:val="24"/>
        </w:rPr>
        <w:tab/>
      </w:r>
      <w:r>
        <w:rPr>
          <w:sz w:val="24"/>
          <w:szCs w:val="24"/>
        </w:rPr>
        <w:fldChar w:fldCharType="begin"/>
      </w:r>
      <w:r>
        <w:rPr>
          <w:sz w:val="24"/>
          <w:szCs w:val="24"/>
        </w:rPr>
        <w:instrText xml:space="preserve"> PAGEREF _Toc469401102 \h </w:instrText>
      </w:r>
      <w:r>
        <w:rPr>
          <w:sz w:val="24"/>
          <w:szCs w:val="24"/>
        </w:rPr>
        <w:fldChar w:fldCharType="separate"/>
      </w:r>
      <w:r>
        <w:rPr>
          <w:sz w:val="24"/>
          <w:szCs w:val="24"/>
        </w:rPr>
        <w:t>7</w:t>
      </w:r>
      <w:r>
        <w:rPr>
          <w:sz w:val="24"/>
          <w:szCs w:val="24"/>
        </w:rPr>
        <w:fldChar w:fldCharType="end"/>
      </w:r>
      <w:r>
        <w:rPr>
          <w:sz w:val="24"/>
          <w:szCs w:val="24"/>
        </w:rPr>
        <w:fldChar w:fldCharType="end"/>
      </w:r>
    </w:p>
    <w:p>
      <w:pPr>
        <w:pStyle w:val="11"/>
        <w:tabs>
          <w:tab w:val="right" w:leader="hyphen" w:pos="8296"/>
        </w:tabs>
        <w:spacing w:line="360" w:lineRule="auto"/>
        <w:rPr>
          <w:sz w:val="24"/>
          <w:szCs w:val="24"/>
        </w:rPr>
      </w:pPr>
      <w:r>
        <w:fldChar w:fldCharType="begin"/>
      </w:r>
      <w:r>
        <w:instrText xml:space="preserve"> HYPERLINK \l "_Toc469401103" </w:instrText>
      </w:r>
      <w:r>
        <w:fldChar w:fldCharType="separate"/>
      </w:r>
      <w:r>
        <w:rPr>
          <w:rStyle w:val="15"/>
          <w:sz w:val="24"/>
          <w:szCs w:val="24"/>
        </w:rPr>
        <w:t>一、优化专业结构、强化重点专业建设</w:t>
      </w:r>
      <w:r>
        <w:rPr>
          <w:sz w:val="24"/>
          <w:szCs w:val="24"/>
        </w:rPr>
        <w:tab/>
      </w:r>
      <w:r>
        <w:rPr>
          <w:sz w:val="24"/>
          <w:szCs w:val="24"/>
        </w:rPr>
        <w:fldChar w:fldCharType="begin"/>
      </w:r>
      <w:r>
        <w:rPr>
          <w:sz w:val="24"/>
          <w:szCs w:val="24"/>
        </w:rPr>
        <w:instrText xml:space="preserve"> PAGEREF _Toc469401103 \h </w:instrText>
      </w:r>
      <w:r>
        <w:rPr>
          <w:sz w:val="24"/>
          <w:szCs w:val="24"/>
        </w:rPr>
        <w:fldChar w:fldCharType="separate"/>
      </w:r>
      <w:r>
        <w:rPr>
          <w:sz w:val="24"/>
          <w:szCs w:val="24"/>
        </w:rPr>
        <w:t>7</w:t>
      </w:r>
      <w:r>
        <w:rPr>
          <w:sz w:val="24"/>
          <w:szCs w:val="24"/>
        </w:rPr>
        <w:fldChar w:fldCharType="end"/>
      </w:r>
      <w:r>
        <w:rPr>
          <w:sz w:val="24"/>
          <w:szCs w:val="24"/>
        </w:rPr>
        <w:fldChar w:fldCharType="end"/>
      </w:r>
    </w:p>
    <w:p>
      <w:pPr>
        <w:pStyle w:val="11"/>
        <w:tabs>
          <w:tab w:val="right" w:leader="hyphen" w:pos="8296"/>
        </w:tabs>
        <w:spacing w:line="360" w:lineRule="auto"/>
        <w:rPr>
          <w:sz w:val="24"/>
          <w:szCs w:val="24"/>
        </w:rPr>
      </w:pPr>
      <w:r>
        <w:fldChar w:fldCharType="begin"/>
      </w:r>
      <w:r>
        <w:instrText xml:space="preserve"> HYPERLINK \l "_Toc469401104" </w:instrText>
      </w:r>
      <w:r>
        <w:fldChar w:fldCharType="separate"/>
      </w:r>
      <w:r>
        <w:rPr>
          <w:rStyle w:val="15"/>
          <w:sz w:val="24"/>
          <w:szCs w:val="24"/>
        </w:rPr>
        <w:t>二、构建“三位一体”人才培养模式</w:t>
      </w:r>
      <w:r>
        <w:rPr>
          <w:sz w:val="24"/>
          <w:szCs w:val="24"/>
        </w:rPr>
        <w:tab/>
      </w:r>
      <w:r>
        <w:rPr>
          <w:sz w:val="24"/>
          <w:szCs w:val="24"/>
        </w:rPr>
        <w:fldChar w:fldCharType="begin"/>
      </w:r>
      <w:r>
        <w:rPr>
          <w:sz w:val="24"/>
          <w:szCs w:val="24"/>
        </w:rPr>
        <w:instrText xml:space="preserve"> PAGEREF _Toc469401104 \h </w:instrText>
      </w:r>
      <w:r>
        <w:rPr>
          <w:sz w:val="24"/>
          <w:szCs w:val="24"/>
        </w:rPr>
        <w:fldChar w:fldCharType="separate"/>
      </w:r>
      <w:r>
        <w:rPr>
          <w:sz w:val="24"/>
          <w:szCs w:val="24"/>
        </w:rPr>
        <w:t>7</w:t>
      </w:r>
      <w:r>
        <w:rPr>
          <w:sz w:val="24"/>
          <w:szCs w:val="24"/>
        </w:rPr>
        <w:fldChar w:fldCharType="end"/>
      </w:r>
      <w:r>
        <w:rPr>
          <w:sz w:val="24"/>
          <w:szCs w:val="24"/>
        </w:rPr>
        <w:fldChar w:fldCharType="end"/>
      </w:r>
    </w:p>
    <w:p>
      <w:pPr>
        <w:pStyle w:val="11"/>
        <w:tabs>
          <w:tab w:val="right" w:leader="hyphen" w:pos="8296"/>
        </w:tabs>
        <w:spacing w:line="360" w:lineRule="auto"/>
        <w:rPr>
          <w:sz w:val="24"/>
          <w:szCs w:val="24"/>
        </w:rPr>
      </w:pPr>
      <w:r>
        <w:fldChar w:fldCharType="begin"/>
      </w:r>
      <w:r>
        <w:instrText xml:space="preserve"> HYPERLINK \l "_Toc469401105" </w:instrText>
      </w:r>
      <w:r>
        <w:fldChar w:fldCharType="separate"/>
      </w:r>
      <w:r>
        <w:rPr>
          <w:rStyle w:val="15"/>
          <w:sz w:val="24"/>
          <w:szCs w:val="24"/>
        </w:rPr>
        <w:t>三、加强课程建设</w:t>
      </w:r>
      <w:r>
        <w:rPr>
          <w:sz w:val="24"/>
          <w:szCs w:val="24"/>
        </w:rPr>
        <w:tab/>
      </w:r>
      <w:r>
        <w:rPr>
          <w:sz w:val="24"/>
          <w:szCs w:val="24"/>
        </w:rPr>
        <w:fldChar w:fldCharType="begin"/>
      </w:r>
      <w:r>
        <w:rPr>
          <w:sz w:val="24"/>
          <w:szCs w:val="24"/>
        </w:rPr>
        <w:instrText xml:space="preserve"> PAGEREF _Toc469401105 \h </w:instrText>
      </w:r>
      <w:r>
        <w:rPr>
          <w:sz w:val="24"/>
          <w:szCs w:val="24"/>
        </w:rPr>
        <w:fldChar w:fldCharType="separate"/>
      </w:r>
      <w:r>
        <w:rPr>
          <w:sz w:val="24"/>
          <w:szCs w:val="24"/>
        </w:rPr>
        <w:t>8</w:t>
      </w:r>
      <w:r>
        <w:rPr>
          <w:sz w:val="24"/>
          <w:szCs w:val="24"/>
        </w:rPr>
        <w:fldChar w:fldCharType="end"/>
      </w:r>
      <w:r>
        <w:rPr>
          <w:sz w:val="24"/>
          <w:szCs w:val="24"/>
        </w:rPr>
        <w:fldChar w:fldCharType="end"/>
      </w:r>
    </w:p>
    <w:p>
      <w:pPr>
        <w:pStyle w:val="5"/>
        <w:tabs>
          <w:tab w:val="right" w:leader="hyphen" w:pos="8296"/>
        </w:tabs>
        <w:spacing w:line="360" w:lineRule="auto"/>
        <w:rPr>
          <w:sz w:val="24"/>
          <w:szCs w:val="24"/>
        </w:rPr>
      </w:pPr>
      <w:r>
        <w:fldChar w:fldCharType="begin"/>
      </w:r>
      <w:r>
        <w:instrText xml:space="preserve"> HYPERLINK \l "_Toc469401106" </w:instrText>
      </w:r>
      <w:r>
        <w:fldChar w:fldCharType="separate"/>
      </w:r>
      <w:r>
        <w:rPr>
          <w:rStyle w:val="15"/>
          <w:rFonts w:hint="default"/>
          <w:sz w:val="24"/>
          <w:szCs w:val="24"/>
        </w:rPr>
        <w:t>1.MOOC</w:t>
      </w:r>
      <w:r>
        <w:rPr>
          <w:rStyle w:val="15"/>
          <w:sz w:val="24"/>
          <w:szCs w:val="24"/>
        </w:rPr>
        <w:t>建设</w:t>
      </w:r>
      <w:r>
        <w:rPr>
          <w:sz w:val="24"/>
          <w:szCs w:val="24"/>
        </w:rPr>
        <w:tab/>
      </w:r>
      <w:r>
        <w:rPr>
          <w:sz w:val="24"/>
          <w:szCs w:val="24"/>
        </w:rPr>
        <w:fldChar w:fldCharType="begin"/>
      </w:r>
      <w:r>
        <w:rPr>
          <w:sz w:val="24"/>
          <w:szCs w:val="24"/>
        </w:rPr>
        <w:instrText xml:space="preserve"> PAGEREF _Toc469401106 \h </w:instrText>
      </w:r>
      <w:r>
        <w:rPr>
          <w:sz w:val="24"/>
          <w:szCs w:val="24"/>
        </w:rPr>
        <w:fldChar w:fldCharType="separate"/>
      </w:r>
      <w:r>
        <w:rPr>
          <w:sz w:val="24"/>
          <w:szCs w:val="24"/>
        </w:rPr>
        <w:t>8</w:t>
      </w:r>
      <w:r>
        <w:rPr>
          <w:sz w:val="24"/>
          <w:szCs w:val="24"/>
        </w:rPr>
        <w:fldChar w:fldCharType="end"/>
      </w:r>
      <w:r>
        <w:rPr>
          <w:sz w:val="24"/>
          <w:szCs w:val="24"/>
        </w:rPr>
        <w:fldChar w:fldCharType="end"/>
      </w:r>
    </w:p>
    <w:p>
      <w:pPr>
        <w:pStyle w:val="5"/>
        <w:tabs>
          <w:tab w:val="right" w:leader="hyphen" w:pos="8296"/>
        </w:tabs>
        <w:spacing w:line="360" w:lineRule="auto"/>
        <w:rPr>
          <w:sz w:val="24"/>
          <w:szCs w:val="24"/>
        </w:rPr>
      </w:pPr>
      <w:r>
        <w:fldChar w:fldCharType="begin"/>
      </w:r>
      <w:r>
        <w:instrText xml:space="preserve"> HYPERLINK \l "_Toc469401107" </w:instrText>
      </w:r>
      <w:r>
        <w:fldChar w:fldCharType="separate"/>
      </w:r>
      <w:r>
        <w:rPr>
          <w:rStyle w:val="15"/>
          <w:rFonts w:hint="default"/>
          <w:sz w:val="24"/>
          <w:szCs w:val="24"/>
        </w:rPr>
        <w:t>2.</w:t>
      </w:r>
      <w:r>
        <w:rPr>
          <w:rStyle w:val="15"/>
          <w:sz w:val="24"/>
          <w:szCs w:val="24"/>
        </w:rPr>
        <w:t>应用型课程</w:t>
      </w:r>
      <w:r>
        <w:rPr>
          <w:sz w:val="24"/>
          <w:szCs w:val="24"/>
        </w:rPr>
        <w:tab/>
      </w:r>
      <w:r>
        <w:rPr>
          <w:rFonts w:hint="eastAsia"/>
          <w:sz w:val="24"/>
          <w:szCs w:val="24"/>
          <w:lang w:val="en-US" w:eastAsia="zh-CN"/>
        </w:rPr>
        <w:t>9</w:t>
      </w:r>
      <w:r>
        <w:rPr>
          <w:sz w:val="24"/>
          <w:szCs w:val="24"/>
        </w:rPr>
        <w:fldChar w:fldCharType="end"/>
      </w:r>
    </w:p>
    <w:p>
      <w:pPr>
        <w:pStyle w:val="11"/>
        <w:tabs>
          <w:tab w:val="right" w:leader="hyphen" w:pos="8296"/>
        </w:tabs>
        <w:spacing w:line="360" w:lineRule="auto"/>
        <w:rPr>
          <w:sz w:val="24"/>
          <w:szCs w:val="24"/>
        </w:rPr>
      </w:pPr>
      <w:r>
        <w:fldChar w:fldCharType="begin"/>
      </w:r>
      <w:r>
        <w:instrText xml:space="preserve"> HYPERLINK \l "_Toc469401108" </w:instrText>
      </w:r>
      <w:r>
        <w:fldChar w:fldCharType="separate"/>
      </w:r>
      <w:r>
        <w:rPr>
          <w:rStyle w:val="15"/>
          <w:sz w:val="24"/>
          <w:szCs w:val="24"/>
        </w:rPr>
        <w:t>四、</w:t>
      </w:r>
      <w:r>
        <w:rPr>
          <w:rStyle w:val="15"/>
          <w:rFonts w:eastAsia="宋体"/>
          <w:sz w:val="24"/>
          <w:szCs w:val="24"/>
          <w:lang w:eastAsia="zh-CN"/>
        </w:rPr>
        <w:t>深化</w:t>
      </w:r>
      <w:r>
        <w:rPr>
          <w:rStyle w:val="15"/>
          <w:sz w:val="24"/>
          <w:szCs w:val="24"/>
        </w:rPr>
        <w:t>实践教学</w:t>
      </w:r>
      <w:r>
        <w:rPr>
          <w:sz w:val="24"/>
          <w:szCs w:val="24"/>
        </w:rPr>
        <w:tab/>
      </w:r>
      <w:r>
        <w:rPr>
          <w:sz w:val="24"/>
          <w:szCs w:val="24"/>
        </w:rPr>
        <w:fldChar w:fldCharType="begin"/>
      </w:r>
      <w:r>
        <w:rPr>
          <w:sz w:val="24"/>
          <w:szCs w:val="24"/>
        </w:rPr>
        <w:instrText xml:space="preserve"> PAGEREF _Toc469401108 \h </w:instrText>
      </w:r>
      <w:r>
        <w:rPr>
          <w:sz w:val="24"/>
          <w:szCs w:val="24"/>
        </w:rPr>
        <w:fldChar w:fldCharType="separate"/>
      </w:r>
      <w:r>
        <w:rPr>
          <w:sz w:val="24"/>
          <w:szCs w:val="24"/>
        </w:rPr>
        <w:t>9</w:t>
      </w:r>
      <w:r>
        <w:rPr>
          <w:sz w:val="24"/>
          <w:szCs w:val="24"/>
        </w:rPr>
        <w:fldChar w:fldCharType="end"/>
      </w:r>
      <w:r>
        <w:rPr>
          <w:sz w:val="24"/>
          <w:szCs w:val="24"/>
        </w:rPr>
        <w:fldChar w:fldCharType="end"/>
      </w:r>
    </w:p>
    <w:p>
      <w:pPr>
        <w:pStyle w:val="5"/>
        <w:tabs>
          <w:tab w:val="right" w:leader="hyphen" w:pos="8296"/>
        </w:tabs>
        <w:spacing w:line="360" w:lineRule="auto"/>
        <w:rPr>
          <w:sz w:val="24"/>
          <w:szCs w:val="24"/>
        </w:rPr>
      </w:pPr>
      <w:r>
        <w:fldChar w:fldCharType="begin"/>
      </w:r>
      <w:r>
        <w:instrText xml:space="preserve"> HYPERLINK \l "_Toc469401109" </w:instrText>
      </w:r>
      <w:r>
        <w:fldChar w:fldCharType="separate"/>
      </w:r>
      <w:r>
        <w:rPr>
          <w:rStyle w:val="15"/>
          <w:rFonts w:hint="default"/>
          <w:sz w:val="24"/>
          <w:szCs w:val="24"/>
        </w:rPr>
        <w:t>1.</w:t>
      </w:r>
      <w:r>
        <w:rPr>
          <w:rStyle w:val="15"/>
          <w:sz w:val="24"/>
          <w:szCs w:val="24"/>
        </w:rPr>
        <w:t>实验、实训、实习场所建设</w:t>
      </w:r>
      <w:r>
        <w:rPr>
          <w:sz w:val="24"/>
          <w:szCs w:val="24"/>
        </w:rPr>
        <w:tab/>
      </w:r>
      <w:r>
        <w:rPr>
          <w:sz w:val="24"/>
          <w:szCs w:val="24"/>
        </w:rPr>
        <w:fldChar w:fldCharType="begin"/>
      </w:r>
      <w:r>
        <w:rPr>
          <w:sz w:val="24"/>
          <w:szCs w:val="24"/>
        </w:rPr>
        <w:instrText xml:space="preserve"> PAGEREF _Toc469401109 \h </w:instrText>
      </w:r>
      <w:r>
        <w:rPr>
          <w:sz w:val="24"/>
          <w:szCs w:val="24"/>
        </w:rPr>
        <w:fldChar w:fldCharType="separate"/>
      </w:r>
      <w:r>
        <w:rPr>
          <w:sz w:val="24"/>
          <w:szCs w:val="24"/>
        </w:rPr>
        <w:t>9</w:t>
      </w:r>
      <w:r>
        <w:rPr>
          <w:sz w:val="24"/>
          <w:szCs w:val="24"/>
        </w:rPr>
        <w:fldChar w:fldCharType="end"/>
      </w:r>
      <w:r>
        <w:rPr>
          <w:sz w:val="24"/>
          <w:szCs w:val="24"/>
        </w:rPr>
        <w:fldChar w:fldCharType="end"/>
      </w:r>
    </w:p>
    <w:p>
      <w:pPr>
        <w:pStyle w:val="5"/>
        <w:tabs>
          <w:tab w:val="right" w:leader="hyphen" w:pos="8296"/>
        </w:tabs>
        <w:spacing w:line="360" w:lineRule="auto"/>
        <w:rPr>
          <w:sz w:val="24"/>
          <w:szCs w:val="24"/>
        </w:rPr>
      </w:pPr>
      <w:r>
        <w:fldChar w:fldCharType="begin"/>
      </w:r>
      <w:r>
        <w:instrText xml:space="preserve"> HYPERLINK \l "_Toc469401110" </w:instrText>
      </w:r>
      <w:r>
        <w:fldChar w:fldCharType="separate"/>
      </w:r>
      <w:r>
        <w:rPr>
          <w:rStyle w:val="15"/>
          <w:rFonts w:hint="default"/>
          <w:sz w:val="24"/>
          <w:szCs w:val="24"/>
        </w:rPr>
        <w:t>2.</w:t>
      </w:r>
      <w:r>
        <w:rPr>
          <w:rStyle w:val="15"/>
          <w:sz w:val="24"/>
          <w:szCs w:val="24"/>
        </w:rPr>
        <w:t>实践性环节</w:t>
      </w:r>
      <w:r>
        <w:rPr>
          <w:sz w:val="24"/>
          <w:szCs w:val="24"/>
        </w:rPr>
        <w:tab/>
      </w:r>
      <w:r>
        <w:rPr>
          <w:sz w:val="24"/>
          <w:szCs w:val="24"/>
        </w:rPr>
        <w:fldChar w:fldCharType="begin"/>
      </w:r>
      <w:r>
        <w:rPr>
          <w:sz w:val="24"/>
          <w:szCs w:val="24"/>
        </w:rPr>
        <w:instrText xml:space="preserve"> PAGEREF _Toc469401110 \h </w:instrText>
      </w:r>
      <w:r>
        <w:rPr>
          <w:sz w:val="24"/>
          <w:szCs w:val="24"/>
        </w:rPr>
        <w:fldChar w:fldCharType="separate"/>
      </w:r>
      <w:r>
        <w:rPr>
          <w:sz w:val="24"/>
          <w:szCs w:val="24"/>
        </w:rPr>
        <w:t>10</w:t>
      </w:r>
      <w:r>
        <w:rPr>
          <w:sz w:val="24"/>
          <w:szCs w:val="24"/>
        </w:rPr>
        <w:fldChar w:fldCharType="end"/>
      </w:r>
      <w:r>
        <w:rPr>
          <w:sz w:val="24"/>
          <w:szCs w:val="24"/>
        </w:rPr>
        <w:fldChar w:fldCharType="end"/>
      </w:r>
    </w:p>
    <w:p>
      <w:pPr>
        <w:pStyle w:val="5"/>
        <w:tabs>
          <w:tab w:val="right" w:leader="hyphen" w:pos="8296"/>
        </w:tabs>
        <w:spacing w:line="360" w:lineRule="auto"/>
        <w:rPr>
          <w:sz w:val="24"/>
          <w:szCs w:val="24"/>
        </w:rPr>
      </w:pPr>
      <w:r>
        <w:fldChar w:fldCharType="begin"/>
      </w:r>
      <w:r>
        <w:instrText xml:space="preserve"> HYPERLINK \l "_Toc469401111" </w:instrText>
      </w:r>
      <w:r>
        <w:fldChar w:fldCharType="separate"/>
      </w:r>
      <w:r>
        <w:rPr>
          <w:rStyle w:val="15"/>
          <w:rFonts w:hint="default"/>
          <w:sz w:val="24"/>
          <w:szCs w:val="24"/>
        </w:rPr>
        <w:t>3.</w:t>
      </w:r>
      <w:r>
        <w:rPr>
          <w:rStyle w:val="15"/>
          <w:sz w:val="24"/>
          <w:szCs w:val="24"/>
        </w:rPr>
        <w:t>毕业设计</w:t>
      </w:r>
      <w:r>
        <w:rPr>
          <w:sz w:val="24"/>
          <w:szCs w:val="24"/>
        </w:rPr>
        <w:tab/>
      </w:r>
      <w:r>
        <w:rPr>
          <w:rFonts w:hint="eastAsia"/>
          <w:sz w:val="24"/>
          <w:szCs w:val="24"/>
          <w:lang w:val="en-US" w:eastAsia="zh-CN"/>
        </w:rPr>
        <w:t>1</w:t>
      </w:r>
      <w:r>
        <w:rPr>
          <w:sz w:val="24"/>
          <w:szCs w:val="24"/>
        </w:rPr>
        <w:fldChar w:fldCharType="end"/>
      </w:r>
      <w:r>
        <w:rPr>
          <w:rFonts w:hint="eastAsia"/>
          <w:sz w:val="24"/>
          <w:szCs w:val="24"/>
          <w:lang w:val="en-US" w:eastAsia="zh-CN"/>
        </w:rPr>
        <w:t>1</w:t>
      </w:r>
    </w:p>
    <w:p>
      <w:pPr>
        <w:pStyle w:val="11"/>
        <w:tabs>
          <w:tab w:val="right" w:leader="hyphen" w:pos="8296"/>
        </w:tabs>
        <w:spacing w:line="360" w:lineRule="auto"/>
        <w:rPr>
          <w:sz w:val="24"/>
          <w:szCs w:val="24"/>
        </w:rPr>
      </w:pPr>
      <w:r>
        <w:fldChar w:fldCharType="begin"/>
      </w:r>
      <w:r>
        <w:instrText xml:space="preserve"> HYPERLINK \l "_Toc469401112" </w:instrText>
      </w:r>
      <w:r>
        <w:fldChar w:fldCharType="separate"/>
      </w:r>
      <w:r>
        <w:rPr>
          <w:rStyle w:val="15"/>
          <w:sz w:val="24"/>
          <w:szCs w:val="24"/>
        </w:rPr>
        <w:t>五、构建以实践为核心的创新创业教育体系</w:t>
      </w:r>
      <w:r>
        <w:rPr>
          <w:sz w:val="24"/>
          <w:szCs w:val="24"/>
        </w:rPr>
        <w:tab/>
      </w:r>
      <w:r>
        <w:rPr>
          <w:sz w:val="24"/>
          <w:szCs w:val="24"/>
        </w:rPr>
        <w:fldChar w:fldCharType="begin"/>
      </w:r>
      <w:r>
        <w:rPr>
          <w:sz w:val="24"/>
          <w:szCs w:val="24"/>
        </w:rPr>
        <w:instrText xml:space="preserve"> PAGEREF _Toc469401112 \h </w:instrText>
      </w:r>
      <w:r>
        <w:rPr>
          <w:sz w:val="24"/>
          <w:szCs w:val="24"/>
        </w:rPr>
        <w:fldChar w:fldCharType="separate"/>
      </w:r>
      <w:r>
        <w:rPr>
          <w:sz w:val="24"/>
          <w:szCs w:val="24"/>
        </w:rPr>
        <w:t>11</w:t>
      </w:r>
      <w:r>
        <w:rPr>
          <w:sz w:val="24"/>
          <w:szCs w:val="24"/>
        </w:rPr>
        <w:fldChar w:fldCharType="end"/>
      </w:r>
      <w:r>
        <w:rPr>
          <w:sz w:val="24"/>
          <w:szCs w:val="24"/>
        </w:rPr>
        <w:fldChar w:fldCharType="end"/>
      </w:r>
    </w:p>
    <w:p>
      <w:pPr>
        <w:pStyle w:val="5"/>
        <w:tabs>
          <w:tab w:val="right" w:leader="hyphen" w:pos="8296"/>
        </w:tabs>
        <w:spacing w:line="360" w:lineRule="auto"/>
        <w:rPr>
          <w:sz w:val="24"/>
          <w:szCs w:val="24"/>
        </w:rPr>
      </w:pPr>
      <w:r>
        <w:fldChar w:fldCharType="begin"/>
      </w:r>
      <w:r>
        <w:instrText xml:space="preserve"> HYPERLINK \l "_Toc469401113" </w:instrText>
      </w:r>
      <w:r>
        <w:fldChar w:fldCharType="separate"/>
      </w:r>
      <w:r>
        <w:rPr>
          <w:rStyle w:val="15"/>
          <w:rFonts w:hint="default"/>
          <w:sz w:val="24"/>
          <w:szCs w:val="24"/>
        </w:rPr>
        <w:t>1.</w:t>
      </w:r>
      <w:r>
        <w:rPr>
          <w:rStyle w:val="15"/>
          <w:sz w:val="24"/>
          <w:szCs w:val="24"/>
        </w:rPr>
        <w:t>开展丰富多彩的双创实践活动</w:t>
      </w:r>
      <w:r>
        <w:rPr>
          <w:sz w:val="24"/>
          <w:szCs w:val="24"/>
        </w:rPr>
        <w:tab/>
      </w:r>
      <w:r>
        <w:rPr>
          <w:sz w:val="24"/>
          <w:szCs w:val="24"/>
        </w:rPr>
        <w:fldChar w:fldCharType="begin"/>
      </w:r>
      <w:r>
        <w:rPr>
          <w:sz w:val="24"/>
          <w:szCs w:val="24"/>
        </w:rPr>
        <w:instrText xml:space="preserve"> PAGEREF _Toc469401113 \h </w:instrText>
      </w:r>
      <w:r>
        <w:rPr>
          <w:sz w:val="24"/>
          <w:szCs w:val="24"/>
        </w:rPr>
        <w:fldChar w:fldCharType="separate"/>
      </w:r>
      <w:r>
        <w:rPr>
          <w:sz w:val="24"/>
          <w:szCs w:val="24"/>
        </w:rPr>
        <w:t>11</w:t>
      </w:r>
      <w:r>
        <w:rPr>
          <w:sz w:val="24"/>
          <w:szCs w:val="24"/>
        </w:rPr>
        <w:fldChar w:fldCharType="end"/>
      </w:r>
      <w:r>
        <w:rPr>
          <w:sz w:val="24"/>
          <w:szCs w:val="24"/>
        </w:rPr>
        <w:fldChar w:fldCharType="end"/>
      </w:r>
    </w:p>
    <w:p>
      <w:pPr>
        <w:pStyle w:val="5"/>
        <w:tabs>
          <w:tab w:val="right" w:leader="hyphen" w:pos="8296"/>
        </w:tabs>
        <w:spacing w:line="360" w:lineRule="auto"/>
        <w:rPr>
          <w:sz w:val="24"/>
          <w:szCs w:val="24"/>
        </w:rPr>
      </w:pPr>
      <w:r>
        <w:fldChar w:fldCharType="begin"/>
      </w:r>
      <w:r>
        <w:instrText xml:space="preserve"> HYPERLINK \l "_Toc469401114" </w:instrText>
      </w:r>
      <w:r>
        <w:fldChar w:fldCharType="separate"/>
      </w:r>
      <w:r>
        <w:rPr>
          <w:rStyle w:val="15"/>
          <w:rFonts w:hint="default"/>
          <w:sz w:val="24"/>
          <w:szCs w:val="24"/>
        </w:rPr>
        <w:t>2.</w:t>
      </w:r>
      <w:r>
        <w:rPr>
          <w:rStyle w:val="15"/>
          <w:sz w:val="24"/>
          <w:szCs w:val="24"/>
        </w:rPr>
        <w:t>完善双创教育体系相关要素</w:t>
      </w:r>
      <w:r>
        <w:rPr>
          <w:sz w:val="24"/>
          <w:szCs w:val="24"/>
        </w:rPr>
        <w:tab/>
      </w:r>
      <w:r>
        <w:rPr>
          <w:sz w:val="24"/>
          <w:szCs w:val="24"/>
        </w:rPr>
        <w:fldChar w:fldCharType="begin"/>
      </w:r>
      <w:r>
        <w:rPr>
          <w:sz w:val="24"/>
          <w:szCs w:val="24"/>
        </w:rPr>
        <w:instrText xml:space="preserve"> PAGEREF _Toc469401114 \h </w:instrText>
      </w:r>
      <w:r>
        <w:rPr>
          <w:sz w:val="24"/>
          <w:szCs w:val="24"/>
        </w:rPr>
        <w:fldChar w:fldCharType="separate"/>
      </w:r>
      <w:r>
        <w:rPr>
          <w:sz w:val="24"/>
          <w:szCs w:val="24"/>
        </w:rPr>
        <w:t>12</w:t>
      </w:r>
      <w:r>
        <w:rPr>
          <w:sz w:val="24"/>
          <w:szCs w:val="24"/>
        </w:rPr>
        <w:fldChar w:fldCharType="end"/>
      </w:r>
      <w:r>
        <w:rPr>
          <w:sz w:val="24"/>
          <w:szCs w:val="24"/>
        </w:rPr>
        <w:fldChar w:fldCharType="end"/>
      </w:r>
    </w:p>
    <w:p>
      <w:pPr>
        <w:pStyle w:val="5"/>
        <w:tabs>
          <w:tab w:val="right" w:leader="hyphen" w:pos="8296"/>
        </w:tabs>
        <w:spacing w:line="360" w:lineRule="auto"/>
        <w:rPr>
          <w:sz w:val="24"/>
          <w:szCs w:val="24"/>
        </w:rPr>
      </w:pPr>
      <w:r>
        <w:fldChar w:fldCharType="begin"/>
      </w:r>
      <w:r>
        <w:instrText xml:space="preserve"> HYPERLINK \l "_Toc469401115" </w:instrText>
      </w:r>
      <w:r>
        <w:fldChar w:fldCharType="separate"/>
      </w:r>
      <w:r>
        <w:rPr>
          <w:rStyle w:val="15"/>
          <w:rFonts w:hint="default"/>
          <w:sz w:val="24"/>
          <w:szCs w:val="24"/>
        </w:rPr>
        <w:t>3.</w:t>
      </w:r>
      <w:r>
        <w:rPr>
          <w:rStyle w:val="15"/>
          <w:sz w:val="24"/>
          <w:szCs w:val="24"/>
        </w:rPr>
        <w:t>加大保障条件建设</w:t>
      </w:r>
      <w:r>
        <w:rPr>
          <w:sz w:val="24"/>
          <w:szCs w:val="24"/>
        </w:rPr>
        <w:tab/>
      </w:r>
      <w:r>
        <w:rPr>
          <w:rFonts w:hint="eastAsia"/>
          <w:sz w:val="24"/>
          <w:szCs w:val="24"/>
          <w:lang w:val="en-US" w:eastAsia="zh-CN"/>
        </w:rPr>
        <w:t>1</w:t>
      </w:r>
      <w:r>
        <w:rPr>
          <w:sz w:val="24"/>
          <w:szCs w:val="24"/>
        </w:rPr>
        <w:fldChar w:fldCharType="end"/>
      </w:r>
      <w:r>
        <w:rPr>
          <w:rFonts w:hint="eastAsia"/>
          <w:sz w:val="24"/>
          <w:szCs w:val="24"/>
          <w:lang w:val="en-US" w:eastAsia="zh-CN"/>
        </w:rPr>
        <w:t>3</w:t>
      </w:r>
    </w:p>
    <w:p>
      <w:pPr>
        <w:pStyle w:val="11"/>
        <w:tabs>
          <w:tab w:val="right" w:leader="hyphen" w:pos="8296"/>
        </w:tabs>
        <w:spacing w:line="360" w:lineRule="auto"/>
        <w:rPr>
          <w:sz w:val="24"/>
          <w:szCs w:val="24"/>
        </w:rPr>
      </w:pPr>
      <w:r>
        <w:fldChar w:fldCharType="begin"/>
      </w:r>
      <w:r>
        <w:instrText xml:space="preserve"> HYPERLINK \l "_Toc469401116" </w:instrText>
      </w:r>
      <w:r>
        <w:fldChar w:fldCharType="separate"/>
      </w:r>
      <w:r>
        <w:rPr>
          <w:rStyle w:val="15"/>
          <w:sz w:val="24"/>
          <w:szCs w:val="24"/>
        </w:rPr>
        <w:t>六、教学改革</w:t>
      </w:r>
      <w:r>
        <w:rPr>
          <w:sz w:val="24"/>
          <w:szCs w:val="24"/>
        </w:rPr>
        <w:tab/>
      </w:r>
      <w:r>
        <w:rPr>
          <w:sz w:val="24"/>
          <w:szCs w:val="24"/>
        </w:rPr>
        <w:fldChar w:fldCharType="begin"/>
      </w:r>
      <w:r>
        <w:rPr>
          <w:sz w:val="24"/>
          <w:szCs w:val="24"/>
        </w:rPr>
        <w:instrText xml:space="preserve"> PAGEREF _Toc469401116 \h </w:instrText>
      </w:r>
      <w:r>
        <w:rPr>
          <w:sz w:val="24"/>
          <w:szCs w:val="24"/>
        </w:rPr>
        <w:fldChar w:fldCharType="separate"/>
      </w:r>
      <w:r>
        <w:rPr>
          <w:sz w:val="24"/>
          <w:szCs w:val="24"/>
        </w:rPr>
        <w:t>13</w:t>
      </w:r>
      <w:r>
        <w:rPr>
          <w:sz w:val="24"/>
          <w:szCs w:val="24"/>
        </w:rPr>
        <w:fldChar w:fldCharType="end"/>
      </w:r>
      <w:r>
        <w:rPr>
          <w:sz w:val="24"/>
          <w:szCs w:val="24"/>
        </w:rPr>
        <w:fldChar w:fldCharType="end"/>
      </w:r>
    </w:p>
    <w:p>
      <w:pPr>
        <w:pStyle w:val="10"/>
        <w:tabs>
          <w:tab w:val="right" w:leader="hyphen" w:pos="8296"/>
        </w:tabs>
        <w:spacing w:line="360" w:lineRule="auto"/>
        <w:rPr>
          <w:sz w:val="24"/>
          <w:szCs w:val="24"/>
        </w:rPr>
      </w:pPr>
      <w:r>
        <w:fldChar w:fldCharType="begin"/>
      </w:r>
      <w:r>
        <w:instrText xml:space="preserve"> HYPERLINK \l "_Toc469401117" </w:instrText>
      </w:r>
      <w:r>
        <w:fldChar w:fldCharType="separate"/>
      </w:r>
      <w:r>
        <w:rPr>
          <w:rStyle w:val="15"/>
          <w:sz w:val="24"/>
          <w:szCs w:val="24"/>
        </w:rPr>
        <w:t>第四部分</w:t>
      </w:r>
      <w:r>
        <w:rPr>
          <w:rStyle w:val="15"/>
          <w:rFonts w:hint="default"/>
          <w:sz w:val="24"/>
          <w:szCs w:val="24"/>
        </w:rPr>
        <w:t xml:space="preserve"> </w:t>
      </w:r>
      <w:r>
        <w:rPr>
          <w:rStyle w:val="15"/>
          <w:sz w:val="24"/>
          <w:szCs w:val="24"/>
        </w:rPr>
        <w:t>质量保障体系</w:t>
      </w:r>
      <w:r>
        <w:rPr>
          <w:sz w:val="24"/>
          <w:szCs w:val="24"/>
        </w:rPr>
        <w:tab/>
      </w:r>
      <w:r>
        <w:rPr>
          <w:rFonts w:hint="eastAsia"/>
          <w:sz w:val="24"/>
          <w:szCs w:val="24"/>
          <w:lang w:val="en-US" w:eastAsia="zh-CN"/>
        </w:rPr>
        <w:t>1</w:t>
      </w:r>
      <w:r>
        <w:rPr>
          <w:sz w:val="24"/>
          <w:szCs w:val="24"/>
        </w:rPr>
        <w:fldChar w:fldCharType="end"/>
      </w:r>
      <w:r>
        <w:rPr>
          <w:rFonts w:hint="eastAsia"/>
          <w:sz w:val="24"/>
          <w:szCs w:val="24"/>
          <w:lang w:val="en-US" w:eastAsia="zh-CN"/>
        </w:rPr>
        <w:t>6</w:t>
      </w:r>
    </w:p>
    <w:p>
      <w:pPr>
        <w:pStyle w:val="11"/>
        <w:tabs>
          <w:tab w:val="right" w:leader="hyphen" w:pos="8296"/>
        </w:tabs>
        <w:spacing w:line="360" w:lineRule="auto"/>
        <w:rPr>
          <w:sz w:val="24"/>
          <w:szCs w:val="24"/>
        </w:rPr>
      </w:pPr>
      <w:r>
        <w:fldChar w:fldCharType="begin"/>
      </w:r>
      <w:r>
        <w:instrText xml:space="preserve"> HYPERLINK \l "_Toc469401118" </w:instrText>
      </w:r>
      <w:r>
        <w:fldChar w:fldCharType="separate"/>
      </w:r>
      <w:r>
        <w:rPr>
          <w:rStyle w:val="15"/>
          <w:sz w:val="24"/>
          <w:szCs w:val="24"/>
        </w:rPr>
        <w:t>一、教学中心地位</w:t>
      </w:r>
      <w:r>
        <w:rPr>
          <w:sz w:val="24"/>
          <w:szCs w:val="24"/>
        </w:rPr>
        <w:tab/>
      </w:r>
      <w:r>
        <w:rPr>
          <w:rFonts w:hint="eastAsia"/>
          <w:sz w:val="24"/>
          <w:szCs w:val="24"/>
          <w:lang w:val="en-US" w:eastAsia="zh-CN"/>
        </w:rPr>
        <w:t>1</w:t>
      </w:r>
      <w:r>
        <w:rPr>
          <w:sz w:val="24"/>
          <w:szCs w:val="24"/>
        </w:rPr>
        <w:fldChar w:fldCharType="end"/>
      </w:r>
      <w:r>
        <w:rPr>
          <w:rFonts w:hint="eastAsia"/>
          <w:sz w:val="24"/>
          <w:szCs w:val="24"/>
          <w:lang w:val="en-US" w:eastAsia="zh-CN"/>
        </w:rPr>
        <w:t>6</w:t>
      </w:r>
    </w:p>
    <w:p>
      <w:pPr>
        <w:pStyle w:val="5"/>
        <w:tabs>
          <w:tab w:val="right" w:leader="hyphen" w:pos="8296"/>
        </w:tabs>
        <w:spacing w:line="360" w:lineRule="auto"/>
        <w:rPr>
          <w:sz w:val="24"/>
          <w:szCs w:val="24"/>
        </w:rPr>
      </w:pPr>
      <w:r>
        <w:fldChar w:fldCharType="begin"/>
      </w:r>
      <w:r>
        <w:instrText xml:space="preserve"> HYPERLINK \l "_Toc469401119" </w:instrText>
      </w:r>
      <w:r>
        <w:fldChar w:fldCharType="separate"/>
      </w:r>
      <w:r>
        <w:rPr>
          <w:rStyle w:val="15"/>
          <w:rFonts w:hint="default"/>
          <w:sz w:val="24"/>
          <w:szCs w:val="24"/>
        </w:rPr>
        <w:t>1.</w:t>
      </w:r>
      <w:r>
        <w:rPr>
          <w:rStyle w:val="15"/>
          <w:sz w:val="24"/>
          <w:szCs w:val="24"/>
        </w:rPr>
        <w:t>领导重视教学</w:t>
      </w:r>
      <w:r>
        <w:rPr>
          <w:sz w:val="24"/>
          <w:szCs w:val="24"/>
        </w:rPr>
        <w:tab/>
      </w:r>
      <w:r>
        <w:rPr>
          <w:rFonts w:hint="eastAsia"/>
          <w:sz w:val="24"/>
          <w:szCs w:val="24"/>
          <w:lang w:val="en-US" w:eastAsia="zh-CN"/>
        </w:rPr>
        <w:t>1</w:t>
      </w:r>
      <w:r>
        <w:rPr>
          <w:sz w:val="24"/>
          <w:szCs w:val="24"/>
        </w:rPr>
        <w:fldChar w:fldCharType="end"/>
      </w:r>
      <w:r>
        <w:rPr>
          <w:rFonts w:hint="eastAsia"/>
          <w:sz w:val="24"/>
          <w:szCs w:val="24"/>
          <w:lang w:val="en-US" w:eastAsia="zh-CN"/>
        </w:rPr>
        <w:t>6</w:t>
      </w:r>
    </w:p>
    <w:p>
      <w:pPr>
        <w:pStyle w:val="5"/>
        <w:tabs>
          <w:tab w:val="right" w:leader="hyphen" w:pos="8296"/>
        </w:tabs>
        <w:spacing w:line="360" w:lineRule="auto"/>
        <w:rPr>
          <w:sz w:val="24"/>
          <w:szCs w:val="24"/>
        </w:rPr>
      </w:pPr>
      <w:r>
        <w:fldChar w:fldCharType="begin"/>
      </w:r>
      <w:r>
        <w:instrText xml:space="preserve"> HYPERLINK \l "_Toc469401120" </w:instrText>
      </w:r>
      <w:r>
        <w:fldChar w:fldCharType="separate"/>
      </w:r>
      <w:r>
        <w:rPr>
          <w:rStyle w:val="15"/>
          <w:rFonts w:hint="default"/>
          <w:sz w:val="24"/>
          <w:szCs w:val="24"/>
        </w:rPr>
        <w:t>2.</w:t>
      </w:r>
      <w:r>
        <w:rPr>
          <w:rStyle w:val="15"/>
          <w:sz w:val="24"/>
          <w:szCs w:val="24"/>
        </w:rPr>
        <w:t>经费保障教学</w:t>
      </w:r>
      <w:r>
        <w:rPr>
          <w:sz w:val="24"/>
          <w:szCs w:val="24"/>
        </w:rPr>
        <w:tab/>
      </w:r>
      <w:r>
        <w:rPr>
          <w:rFonts w:hint="eastAsia"/>
          <w:sz w:val="24"/>
          <w:szCs w:val="24"/>
          <w:lang w:val="en-US" w:eastAsia="zh-CN"/>
        </w:rPr>
        <w:t>1</w:t>
      </w:r>
      <w:r>
        <w:rPr>
          <w:sz w:val="24"/>
          <w:szCs w:val="24"/>
        </w:rPr>
        <w:fldChar w:fldCharType="end"/>
      </w:r>
      <w:r>
        <w:rPr>
          <w:rFonts w:hint="eastAsia"/>
          <w:sz w:val="24"/>
          <w:szCs w:val="24"/>
          <w:lang w:val="en-US" w:eastAsia="zh-CN"/>
        </w:rPr>
        <w:t>6</w:t>
      </w:r>
    </w:p>
    <w:p>
      <w:pPr>
        <w:pStyle w:val="5"/>
        <w:tabs>
          <w:tab w:val="right" w:leader="hyphen" w:pos="8296"/>
        </w:tabs>
        <w:spacing w:line="360" w:lineRule="auto"/>
        <w:rPr>
          <w:sz w:val="24"/>
          <w:szCs w:val="24"/>
        </w:rPr>
      </w:pPr>
      <w:r>
        <w:fldChar w:fldCharType="begin"/>
      </w:r>
      <w:r>
        <w:instrText xml:space="preserve"> HYPERLINK \l "_Toc469401121" </w:instrText>
      </w:r>
      <w:r>
        <w:fldChar w:fldCharType="separate"/>
      </w:r>
      <w:r>
        <w:rPr>
          <w:rStyle w:val="15"/>
          <w:rFonts w:hint="default"/>
          <w:sz w:val="24"/>
          <w:szCs w:val="24"/>
        </w:rPr>
        <w:t>3.</w:t>
      </w:r>
      <w:r>
        <w:rPr>
          <w:rStyle w:val="15"/>
          <w:sz w:val="24"/>
          <w:szCs w:val="24"/>
        </w:rPr>
        <w:t>管理服务教学</w:t>
      </w:r>
      <w:r>
        <w:rPr>
          <w:sz w:val="24"/>
          <w:szCs w:val="24"/>
        </w:rPr>
        <w:tab/>
      </w:r>
      <w:r>
        <w:rPr>
          <w:rFonts w:hint="eastAsia"/>
          <w:sz w:val="24"/>
          <w:szCs w:val="24"/>
          <w:lang w:val="en-US" w:eastAsia="zh-CN"/>
        </w:rPr>
        <w:t>1</w:t>
      </w:r>
      <w:r>
        <w:rPr>
          <w:sz w:val="24"/>
          <w:szCs w:val="24"/>
        </w:rPr>
        <w:fldChar w:fldCharType="end"/>
      </w:r>
      <w:r>
        <w:rPr>
          <w:rFonts w:hint="eastAsia"/>
          <w:sz w:val="24"/>
          <w:szCs w:val="24"/>
          <w:lang w:val="en-US" w:eastAsia="zh-CN"/>
        </w:rPr>
        <w:t>6</w:t>
      </w:r>
    </w:p>
    <w:p>
      <w:pPr>
        <w:pStyle w:val="5"/>
        <w:tabs>
          <w:tab w:val="right" w:leader="hyphen" w:pos="8296"/>
        </w:tabs>
        <w:spacing w:line="360" w:lineRule="auto"/>
        <w:rPr>
          <w:sz w:val="24"/>
          <w:szCs w:val="24"/>
        </w:rPr>
      </w:pPr>
      <w:r>
        <w:fldChar w:fldCharType="begin"/>
      </w:r>
      <w:r>
        <w:instrText xml:space="preserve"> HYPERLINK \l "_Toc469401122" </w:instrText>
      </w:r>
      <w:r>
        <w:fldChar w:fldCharType="separate"/>
      </w:r>
      <w:r>
        <w:rPr>
          <w:rStyle w:val="15"/>
          <w:rFonts w:hint="default"/>
          <w:sz w:val="24"/>
          <w:szCs w:val="24"/>
        </w:rPr>
        <w:t>4.</w:t>
      </w:r>
      <w:r>
        <w:rPr>
          <w:rStyle w:val="15"/>
          <w:sz w:val="24"/>
          <w:szCs w:val="24"/>
        </w:rPr>
        <w:t>科研促进教学</w:t>
      </w:r>
      <w:r>
        <w:rPr>
          <w:sz w:val="24"/>
          <w:szCs w:val="24"/>
        </w:rPr>
        <w:tab/>
      </w:r>
      <w:r>
        <w:rPr>
          <w:rFonts w:hint="eastAsia"/>
          <w:sz w:val="24"/>
          <w:szCs w:val="24"/>
          <w:lang w:val="en-US" w:eastAsia="zh-CN"/>
        </w:rPr>
        <w:t>1</w:t>
      </w:r>
      <w:r>
        <w:rPr>
          <w:sz w:val="24"/>
          <w:szCs w:val="24"/>
        </w:rPr>
        <w:fldChar w:fldCharType="end"/>
      </w:r>
      <w:r>
        <w:rPr>
          <w:rFonts w:hint="eastAsia"/>
          <w:sz w:val="24"/>
          <w:szCs w:val="24"/>
          <w:lang w:val="en-US" w:eastAsia="zh-CN"/>
        </w:rPr>
        <w:t>7</w:t>
      </w:r>
    </w:p>
    <w:p>
      <w:pPr>
        <w:pStyle w:val="11"/>
        <w:tabs>
          <w:tab w:val="right" w:leader="hyphen" w:pos="8296"/>
        </w:tabs>
        <w:spacing w:line="360" w:lineRule="auto"/>
        <w:rPr>
          <w:sz w:val="24"/>
          <w:szCs w:val="24"/>
        </w:rPr>
      </w:pPr>
      <w:r>
        <w:fldChar w:fldCharType="begin"/>
      </w:r>
      <w:r>
        <w:instrText xml:space="preserve"> HYPERLINK \l "_Toc469401123" </w:instrText>
      </w:r>
      <w:r>
        <w:fldChar w:fldCharType="separate"/>
      </w:r>
      <w:r>
        <w:rPr>
          <w:rStyle w:val="15"/>
          <w:sz w:val="24"/>
          <w:szCs w:val="24"/>
        </w:rPr>
        <w:t>二、质量保障监控体系</w:t>
      </w:r>
      <w:r>
        <w:rPr>
          <w:sz w:val="24"/>
          <w:szCs w:val="24"/>
        </w:rPr>
        <w:tab/>
      </w:r>
      <w:r>
        <w:rPr>
          <w:rFonts w:hint="eastAsia"/>
          <w:sz w:val="24"/>
          <w:szCs w:val="24"/>
          <w:lang w:val="en-US" w:eastAsia="zh-CN"/>
        </w:rPr>
        <w:t>1</w:t>
      </w:r>
      <w:r>
        <w:rPr>
          <w:sz w:val="24"/>
          <w:szCs w:val="24"/>
        </w:rPr>
        <w:fldChar w:fldCharType="end"/>
      </w:r>
      <w:r>
        <w:rPr>
          <w:rFonts w:hint="eastAsia"/>
          <w:sz w:val="24"/>
          <w:szCs w:val="24"/>
          <w:lang w:val="en-US" w:eastAsia="zh-CN"/>
        </w:rPr>
        <w:t>7</w:t>
      </w:r>
    </w:p>
    <w:p>
      <w:pPr>
        <w:pStyle w:val="5"/>
        <w:tabs>
          <w:tab w:val="right" w:leader="hyphen" w:pos="8296"/>
        </w:tabs>
        <w:spacing w:line="360" w:lineRule="auto"/>
        <w:rPr>
          <w:sz w:val="24"/>
          <w:szCs w:val="24"/>
        </w:rPr>
      </w:pPr>
      <w:r>
        <w:fldChar w:fldCharType="begin"/>
      </w:r>
      <w:r>
        <w:instrText xml:space="preserve"> HYPERLINK \l "_Toc469401124" </w:instrText>
      </w:r>
      <w:r>
        <w:fldChar w:fldCharType="separate"/>
      </w:r>
      <w:r>
        <w:rPr>
          <w:rStyle w:val="15"/>
          <w:rFonts w:hint="default"/>
          <w:sz w:val="24"/>
          <w:szCs w:val="24"/>
        </w:rPr>
        <w:t>1.</w:t>
      </w:r>
      <w:r>
        <w:rPr>
          <w:rStyle w:val="15"/>
          <w:sz w:val="24"/>
          <w:szCs w:val="24"/>
        </w:rPr>
        <w:t>教学质量组织保障体系</w:t>
      </w:r>
      <w:r>
        <w:rPr>
          <w:sz w:val="24"/>
          <w:szCs w:val="24"/>
        </w:rPr>
        <w:tab/>
      </w:r>
      <w:r>
        <w:rPr>
          <w:rFonts w:hint="eastAsia"/>
          <w:sz w:val="24"/>
          <w:szCs w:val="24"/>
          <w:lang w:val="en-US" w:eastAsia="zh-CN"/>
        </w:rPr>
        <w:t>1</w:t>
      </w:r>
      <w:r>
        <w:rPr>
          <w:sz w:val="24"/>
          <w:szCs w:val="24"/>
        </w:rPr>
        <w:fldChar w:fldCharType="end"/>
      </w:r>
      <w:r>
        <w:rPr>
          <w:rFonts w:hint="eastAsia"/>
          <w:sz w:val="24"/>
          <w:szCs w:val="24"/>
          <w:lang w:val="en-US" w:eastAsia="zh-CN"/>
        </w:rPr>
        <w:t>7</w:t>
      </w:r>
    </w:p>
    <w:p>
      <w:pPr>
        <w:pStyle w:val="5"/>
        <w:tabs>
          <w:tab w:val="right" w:leader="hyphen" w:pos="8296"/>
        </w:tabs>
        <w:spacing w:line="360" w:lineRule="auto"/>
        <w:rPr>
          <w:sz w:val="24"/>
          <w:szCs w:val="24"/>
        </w:rPr>
      </w:pPr>
      <w:r>
        <w:fldChar w:fldCharType="begin"/>
      </w:r>
      <w:r>
        <w:instrText xml:space="preserve"> HYPERLINK \l "_Toc469401125" </w:instrText>
      </w:r>
      <w:r>
        <w:fldChar w:fldCharType="separate"/>
      </w:r>
      <w:r>
        <w:rPr>
          <w:rStyle w:val="15"/>
          <w:rFonts w:hint="default"/>
          <w:sz w:val="24"/>
          <w:szCs w:val="24"/>
        </w:rPr>
        <w:t>2.</w:t>
      </w:r>
      <w:r>
        <w:rPr>
          <w:rStyle w:val="15"/>
          <w:sz w:val="24"/>
          <w:szCs w:val="24"/>
        </w:rPr>
        <w:t>教学质量标准体系</w:t>
      </w:r>
      <w:r>
        <w:rPr>
          <w:sz w:val="24"/>
          <w:szCs w:val="24"/>
        </w:rPr>
        <w:tab/>
      </w:r>
      <w:r>
        <w:rPr>
          <w:rFonts w:hint="eastAsia"/>
          <w:sz w:val="24"/>
          <w:szCs w:val="24"/>
          <w:lang w:val="en-US" w:eastAsia="zh-CN"/>
        </w:rPr>
        <w:t>1</w:t>
      </w:r>
      <w:r>
        <w:rPr>
          <w:sz w:val="24"/>
          <w:szCs w:val="24"/>
        </w:rPr>
        <w:fldChar w:fldCharType="end"/>
      </w:r>
      <w:r>
        <w:rPr>
          <w:rFonts w:hint="eastAsia"/>
          <w:sz w:val="24"/>
          <w:szCs w:val="24"/>
          <w:lang w:val="en-US" w:eastAsia="zh-CN"/>
        </w:rPr>
        <w:t>7</w:t>
      </w:r>
    </w:p>
    <w:p>
      <w:pPr>
        <w:pStyle w:val="5"/>
        <w:tabs>
          <w:tab w:val="right" w:leader="hyphen" w:pos="8296"/>
        </w:tabs>
        <w:spacing w:line="360" w:lineRule="auto"/>
        <w:rPr>
          <w:sz w:val="24"/>
          <w:szCs w:val="24"/>
        </w:rPr>
      </w:pPr>
      <w:r>
        <w:fldChar w:fldCharType="begin"/>
      </w:r>
      <w:r>
        <w:instrText xml:space="preserve"> HYPERLINK \l "_Toc469401126" </w:instrText>
      </w:r>
      <w:r>
        <w:fldChar w:fldCharType="separate"/>
      </w:r>
      <w:r>
        <w:rPr>
          <w:rStyle w:val="15"/>
          <w:rFonts w:hint="default"/>
          <w:sz w:val="24"/>
          <w:szCs w:val="24"/>
        </w:rPr>
        <w:t>3.</w:t>
      </w:r>
      <w:r>
        <w:rPr>
          <w:rStyle w:val="15"/>
          <w:sz w:val="24"/>
          <w:szCs w:val="24"/>
        </w:rPr>
        <w:t>教学质量监控与评价措施</w:t>
      </w:r>
      <w:r>
        <w:rPr>
          <w:sz w:val="24"/>
          <w:szCs w:val="24"/>
        </w:rPr>
        <w:tab/>
      </w:r>
      <w:r>
        <w:rPr>
          <w:rFonts w:hint="eastAsia"/>
          <w:sz w:val="24"/>
          <w:szCs w:val="24"/>
          <w:lang w:val="en-US" w:eastAsia="zh-CN"/>
        </w:rPr>
        <w:t>1</w:t>
      </w:r>
      <w:r>
        <w:rPr>
          <w:sz w:val="24"/>
          <w:szCs w:val="24"/>
        </w:rPr>
        <w:fldChar w:fldCharType="end"/>
      </w:r>
      <w:r>
        <w:rPr>
          <w:rFonts w:hint="eastAsia"/>
          <w:sz w:val="24"/>
          <w:szCs w:val="24"/>
          <w:lang w:val="en-US" w:eastAsia="zh-CN"/>
        </w:rPr>
        <w:t>8</w:t>
      </w:r>
    </w:p>
    <w:p>
      <w:pPr>
        <w:pStyle w:val="5"/>
        <w:tabs>
          <w:tab w:val="right" w:leader="hyphen" w:pos="8296"/>
        </w:tabs>
        <w:spacing w:line="360" w:lineRule="auto"/>
        <w:rPr>
          <w:sz w:val="24"/>
          <w:szCs w:val="24"/>
        </w:rPr>
      </w:pPr>
      <w:r>
        <w:fldChar w:fldCharType="begin"/>
      </w:r>
      <w:r>
        <w:instrText xml:space="preserve"> HYPERLINK \l "_Toc469401127" </w:instrText>
      </w:r>
      <w:r>
        <w:fldChar w:fldCharType="separate"/>
      </w:r>
      <w:r>
        <w:rPr>
          <w:rStyle w:val="15"/>
          <w:rFonts w:hint="default"/>
          <w:sz w:val="24"/>
          <w:szCs w:val="24"/>
        </w:rPr>
        <w:t>4.</w:t>
      </w:r>
      <w:r>
        <w:rPr>
          <w:rStyle w:val="15"/>
          <w:sz w:val="24"/>
          <w:szCs w:val="24"/>
        </w:rPr>
        <w:t>教学质量信息反馈和调控体系</w:t>
      </w:r>
      <w:r>
        <w:rPr>
          <w:sz w:val="24"/>
          <w:szCs w:val="24"/>
        </w:rPr>
        <w:tab/>
      </w:r>
      <w:r>
        <w:rPr>
          <w:rFonts w:hint="eastAsia"/>
          <w:sz w:val="24"/>
          <w:szCs w:val="24"/>
          <w:lang w:val="en-US" w:eastAsia="zh-CN"/>
        </w:rPr>
        <w:t>1</w:t>
      </w:r>
      <w:r>
        <w:rPr>
          <w:sz w:val="24"/>
          <w:szCs w:val="24"/>
        </w:rPr>
        <w:fldChar w:fldCharType="end"/>
      </w:r>
      <w:r>
        <w:rPr>
          <w:rFonts w:hint="eastAsia"/>
          <w:sz w:val="24"/>
          <w:szCs w:val="24"/>
          <w:lang w:val="en-US" w:eastAsia="zh-CN"/>
        </w:rPr>
        <w:t>8</w:t>
      </w:r>
    </w:p>
    <w:p>
      <w:pPr>
        <w:pStyle w:val="10"/>
        <w:tabs>
          <w:tab w:val="right" w:leader="hyphen" w:pos="8296"/>
        </w:tabs>
        <w:spacing w:line="360" w:lineRule="auto"/>
        <w:rPr>
          <w:sz w:val="24"/>
          <w:szCs w:val="24"/>
        </w:rPr>
      </w:pPr>
      <w:r>
        <w:fldChar w:fldCharType="begin"/>
      </w:r>
      <w:r>
        <w:instrText xml:space="preserve"> HYPERLINK \l "_Toc469401128" </w:instrText>
      </w:r>
      <w:r>
        <w:fldChar w:fldCharType="separate"/>
      </w:r>
      <w:r>
        <w:rPr>
          <w:rStyle w:val="15"/>
          <w:sz w:val="24"/>
          <w:szCs w:val="24"/>
        </w:rPr>
        <w:t>第五部分</w:t>
      </w:r>
      <w:r>
        <w:rPr>
          <w:rStyle w:val="15"/>
          <w:rFonts w:eastAsia="宋体"/>
          <w:sz w:val="24"/>
          <w:szCs w:val="24"/>
          <w:lang w:val="en-US" w:eastAsia="zh-CN"/>
        </w:rPr>
        <w:t xml:space="preserve"> </w:t>
      </w:r>
      <w:r>
        <w:rPr>
          <w:rStyle w:val="15"/>
          <w:sz w:val="24"/>
          <w:szCs w:val="24"/>
        </w:rPr>
        <w:t>学生学习效果</w:t>
      </w:r>
      <w:r>
        <w:rPr>
          <w:sz w:val="24"/>
          <w:szCs w:val="24"/>
        </w:rPr>
        <w:tab/>
      </w:r>
      <w:r>
        <w:rPr>
          <w:rFonts w:hint="eastAsia"/>
          <w:sz w:val="24"/>
          <w:szCs w:val="24"/>
          <w:lang w:val="en-US" w:eastAsia="zh-CN"/>
        </w:rPr>
        <w:t>2</w:t>
      </w:r>
      <w:r>
        <w:rPr>
          <w:sz w:val="24"/>
          <w:szCs w:val="24"/>
        </w:rPr>
        <w:fldChar w:fldCharType="end"/>
      </w:r>
      <w:r>
        <w:rPr>
          <w:rFonts w:hint="eastAsia"/>
          <w:sz w:val="24"/>
          <w:szCs w:val="24"/>
          <w:lang w:val="en-US" w:eastAsia="zh-CN"/>
        </w:rPr>
        <w:t>0</w:t>
      </w:r>
    </w:p>
    <w:p>
      <w:pPr>
        <w:pStyle w:val="11"/>
        <w:tabs>
          <w:tab w:val="right" w:leader="hyphen" w:pos="8296"/>
        </w:tabs>
        <w:spacing w:line="360" w:lineRule="auto"/>
        <w:rPr>
          <w:sz w:val="24"/>
          <w:szCs w:val="24"/>
        </w:rPr>
      </w:pPr>
      <w:r>
        <w:fldChar w:fldCharType="begin"/>
      </w:r>
      <w:r>
        <w:instrText xml:space="preserve"> HYPERLINK \l "_Toc469401129" </w:instrText>
      </w:r>
      <w:r>
        <w:fldChar w:fldCharType="separate"/>
      </w:r>
      <w:r>
        <w:rPr>
          <w:rStyle w:val="15"/>
          <w:sz w:val="24"/>
          <w:szCs w:val="24"/>
        </w:rPr>
        <w:t>一、应届毕业生毕业和学位授予情况</w:t>
      </w:r>
      <w:r>
        <w:rPr>
          <w:sz w:val="24"/>
          <w:szCs w:val="24"/>
        </w:rPr>
        <w:tab/>
      </w:r>
      <w:r>
        <w:rPr>
          <w:rFonts w:hint="eastAsia"/>
          <w:sz w:val="24"/>
          <w:szCs w:val="24"/>
          <w:lang w:val="en-US" w:eastAsia="zh-CN"/>
        </w:rPr>
        <w:t>2</w:t>
      </w:r>
      <w:r>
        <w:rPr>
          <w:sz w:val="24"/>
          <w:szCs w:val="24"/>
        </w:rPr>
        <w:fldChar w:fldCharType="end"/>
      </w:r>
      <w:r>
        <w:rPr>
          <w:rFonts w:hint="eastAsia"/>
          <w:sz w:val="24"/>
          <w:szCs w:val="24"/>
          <w:lang w:val="en-US" w:eastAsia="zh-CN"/>
        </w:rPr>
        <w:t>0</w:t>
      </w:r>
    </w:p>
    <w:p>
      <w:pPr>
        <w:pStyle w:val="11"/>
        <w:tabs>
          <w:tab w:val="right" w:leader="hyphen" w:pos="8296"/>
        </w:tabs>
        <w:spacing w:line="360" w:lineRule="auto"/>
        <w:rPr>
          <w:sz w:val="24"/>
          <w:szCs w:val="24"/>
        </w:rPr>
      </w:pPr>
      <w:r>
        <w:fldChar w:fldCharType="begin"/>
      </w:r>
      <w:r>
        <w:instrText xml:space="preserve"> HYPERLINK \l "_Toc469401130" </w:instrText>
      </w:r>
      <w:r>
        <w:fldChar w:fldCharType="separate"/>
      </w:r>
      <w:r>
        <w:rPr>
          <w:rStyle w:val="15"/>
          <w:sz w:val="24"/>
          <w:szCs w:val="24"/>
        </w:rPr>
        <w:t>二、应届毕业生就业基本情况</w:t>
      </w:r>
      <w:r>
        <w:rPr>
          <w:sz w:val="24"/>
          <w:szCs w:val="24"/>
        </w:rPr>
        <w:tab/>
      </w:r>
      <w:r>
        <w:rPr>
          <w:rFonts w:hint="eastAsia"/>
          <w:sz w:val="24"/>
          <w:szCs w:val="24"/>
          <w:lang w:val="en-US" w:eastAsia="zh-CN"/>
        </w:rPr>
        <w:t>2</w:t>
      </w:r>
      <w:r>
        <w:rPr>
          <w:sz w:val="24"/>
          <w:szCs w:val="24"/>
        </w:rPr>
        <w:fldChar w:fldCharType="end"/>
      </w:r>
      <w:r>
        <w:rPr>
          <w:rFonts w:hint="eastAsia"/>
          <w:sz w:val="24"/>
          <w:szCs w:val="24"/>
          <w:lang w:val="en-US" w:eastAsia="zh-CN"/>
        </w:rPr>
        <w:t>0</w:t>
      </w:r>
    </w:p>
    <w:p>
      <w:pPr>
        <w:pStyle w:val="11"/>
        <w:tabs>
          <w:tab w:val="right" w:leader="hyphen" w:pos="8296"/>
        </w:tabs>
        <w:spacing w:line="360" w:lineRule="auto"/>
        <w:rPr>
          <w:sz w:val="24"/>
          <w:szCs w:val="24"/>
        </w:rPr>
      </w:pPr>
      <w:r>
        <w:fldChar w:fldCharType="begin"/>
      </w:r>
      <w:r>
        <w:instrText xml:space="preserve"> HYPERLINK \l "_Toc469401131" </w:instrText>
      </w:r>
      <w:r>
        <w:fldChar w:fldCharType="separate"/>
      </w:r>
      <w:r>
        <w:rPr>
          <w:rStyle w:val="15"/>
          <w:sz w:val="24"/>
          <w:szCs w:val="24"/>
        </w:rPr>
        <w:t>三、学习效果</w:t>
      </w:r>
      <w:r>
        <w:rPr>
          <w:sz w:val="24"/>
          <w:szCs w:val="24"/>
        </w:rPr>
        <w:tab/>
      </w:r>
      <w:r>
        <w:rPr>
          <w:rFonts w:hint="eastAsia"/>
          <w:sz w:val="24"/>
          <w:szCs w:val="24"/>
          <w:lang w:val="en-US" w:eastAsia="zh-CN"/>
        </w:rPr>
        <w:t>2</w:t>
      </w:r>
      <w:r>
        <w:rPr>
          <w:sz w:val="24"/>
          <w:szCs w:val="24"/>
        </w:rPr>
        <w:fldChar w:fldCharType="end"/>
      </w:r>
      <w:r>
        <w:rPr>
          <w:rFonts w:hint="eastAsia"/>
          <w:sz w:val="24"/>
          <w:szCs w:val="24"/>
          <w:lang w:val="en-US" w:eastAsia="zh-CN"/>
        </w:rPr>
        <w:t>0</w:t>
      </w:r>
    </w:p>
    <w:p>
      <w:pPr>
        <w:pStyle w:val="5"/>
        <w:tabs>
          <w:tab w:val="right" w:leader="hyphen" w:pos="8296"/>
        </w:tabs>
        <w:spacing w:line="360" w:lineRule="auto"/>
        <w:rPr>
          <w:sz w:val="24"/>
          <w:szCs w:val="24"/>
        </w:rPr>
      </w:pPr>
      <w:r>
        <w:fldChar w:fldCharType="begin"/>
      </w:r>
      <w:r>
        <w:instrText xml:space="preserve"> HYPERLINK \l "_Toc469401132" </w:instrText>
      </w:r>
      <w:r>
        <w:fldChar w:fldCharType="separate"/>
      </w:r>
      <w:r>
        <w:rPr>
          <w:rStyle w:val="15"/>
          <w:rFonts w:hint="default"/>
          <w:sz w:val="24"/>
          <w:szCs w:val="24"/>
        </w:rPr>
        <w:t>1.</w:t>
      </w:r>
      <w:r>
        <w:rPr>
          <w:rStyle w:val="15"/>
          <w:sz w:val="24"/>
          <w:szCs w:val="24"/>
        </w:rPr>
        <w:t>竞赛获奖</w:t>
      </w:r>
      <w:r>
        <w:rPr>
          <w:sz w:val="24"/>
          <w:szCs w:val="24"/>
        </w:rPr>
        <w:tab/>
      </w:r>
      <w:r>
        <w:rPr>
          <w:rFonts w:hint="eastAsia"/>
          <w:sz w:val="24"/>
          <w:szCs w:val="24"/>
          <w:lang w:val="en-US" w:eastAsia="zh-CN"/>
        </w:rPr>
        <w:t>2</w:t>
      </w:r>
      <w:r>
        <w:rPr>
          <w:sz w:val="24"/>
          <w:szCs w:val="24"/>
        </w:rPr>
        <w:fldChar w:fldCharType="end"/>
      </w:r>
      <w:r>
        <w:rPr>
          <w:rFonts w:hint="eastAsia"/>
          <w:sz w:val="24"/>
          <w:szCs w:val="24"/>
          <w:lang w:val="en-US" w:eastAsia="zh-CN"/>
        </w:rPr>
        <w:t>0</w:t>
      </w:r>
    </w:p>
    <w:p>
      <w:pPr>
        <w:pStyle w:val="5"/>
        <w:tabs>
          <w:tab w:val="right" w:leader="hyphen" w:pos="8296"/>
        </w:tabs>
        <w:spacing w:line="360" w:lineRule="auto"/>
        <w:rPr>
          <w:sz w:val="24"/>
          <w:szCs w:val="24"/>
        </w:rPr>
      </w:pPr>
      <w:r>
        <w:fldChar w:fldCharType="begin"/>
      </w:r>
      <w:r>
        <w:instrText xml:space="preserve"> HYPERLINK \l "_Toc469401133" </w:instrText>
      </w:r>
      <w:r>
        <w:fldChar w:fldCharType="separate"/>
      </w:r>
      <w:r>
        <w:rPr>
          <w:rStyle w:val="15"/>
          <w:rFonts w:hint="default"/>
          <w:sz w:val="24"/>
          <w:szCs w:val="24"/>
        </w:rPr>
        <w:t>2.</w:t>
      </w:r>
      <w:r>
        <w:rPr>
          <w:rStyle w:val="15"/>
          <w:sz w:val="24"/>
          <w:szCs w:val="24"/>
        </w:rPr>
        <w:t>体测</w:t>
      </w:r>
      <w:r>
        <w:rPr>
          <w:sz w:val="24"/>
          <w:szCs w:val="24"/>
        </w:rPr>
        <w:tab/>
      </w:r>
      <w:r>
        <w:rPr>
          <w:rFonts w:hint="eastAsia"/>
          <w:sz w:val="24"/>
          <w:szCs w:val="24"/>
          <w:lang w:val="en-US" w:eastAsia="zh-CN"/>
        </w:rPr>
        <w:t>2</w:t>
      </w:r>
      <w:r>
        <w:rPr>
          <w:sz w:val="24"/>
          <w:szCs w:val="24"/>
        </w:rPr>
        <w:fldChar w:fldCharType="end"/>
      </w:r>
      <w:r>
        <w:rPr>
          <w:rFonts w:hint="eastAsia"/>
          <w:sz w:val="24"/>
          <w:szCs w:val="24"/>
          <w:lang w:val="en-US" w:eastAsia="zh-CN"/>
        </w:rPr>
        <w:t>1</w:t>
      </w:r>
    </w:p>
    <w:p>
      <w:pPr>
        <w:pStyle w:val="5"/>
        <w:tabs>
          <w:tab w:val="right" w:leader="hyphen" w:pos="8296"/>
        </w:tabs>
        <w:spacing w:line="360" w:lineRule="auto"/>
        <w:rPr>
          <w:sz w:val="24"/>
          <w:szCs w:val="24"/>
        </w:rPr>
      </w:pPr>
      <w:r>
        <w:fldChar w:fldCharType="begin"/>
      </w:r>
      <w:r>
        <w:instrText xml:space="preserve"> HYPERLINK \l "_Toc469401134" </w:instrText>
      </w:r>
      <w:r>
        <w:fldChar w:fldCharType="separate"/>
      </w:r>
      <w:r>
        <w:rPr>
          <w:rStyle w:val="15"/>
          <w:rFonts w:hint="default"/>
          <w:sz w:val="24"/>
          <w:szCs w:val="24"/>
        </w:rPr>
        <w:t>3.</w:t>
      </w:r>
      <w:r>
        <w:rPr>
          <w:rStyle w:val="15"/>
          <w:sz w:val="24"/>
          <w:szCs w:val="24"/>
        </w:rPr>
        <w:t>专利</w:t>
      </w:r>
      <w:r>
        <w:rPr>
          <w:sz w:val="24"/>
          <w:szCs w:val="24"/>
        </w:rPr>
        <w:tab/>
      </w:r>
      <w:r>
        <w:rPr>
          <w:rFonts w:hint="eastAsia"/>
          <w:sz w:val="24"/>
          <w:szCs w:val="24"/>
          <w:lang w:val="en-US" w:eastAsia="zh-CN"/>
        </w:rPr>
        <w:t>2</w:t>
      </w:r>
      <w:r>
        <w:rPr>
          <w:sz w:val="24"/>
          <w:szCs w:val="24"/>
        </w:rPr>
        <w:fldChar w:fldCharType="end"/>
      </w:r>
      <w:r>
        <w:rPr>
          <w:rFonts w:hint="eastAsia"/>
          <w:sz w:val="24"/>
          <w:szCs w:val="24"/>
          <w:lang w:val="en-US" w:eastAsia="zh-CN"/>
        </w:rPr>
        <w:t>1</w:t>
      </w:r>
    </w:p>
    <w:p>
      <w:pPr>
        <w:pStyle w:val="5"/>
        <w:tabs>
          <w:tab w:val="right" w:leader="hyphen" w:pos="8296"/>
        </w:tabs>
        <w:spacing w:line="360" w:lineRule="auto"/>
        <w:rPr>
          <w:sz w:val="24"/>
          <w:szCs w:val="24"/>
        </w:rPr>
      </w:pPr>
      <w:r>
        <w:fldChar w:fldCharType="begin"/>
      </w:r>
      <w:r>
        <w:instrText xml:space="preserve"> HYPERLINK \l "_Toc469401135" </w:instrText>
      </w:r>
      <w:r>
        <w:fldChar w:fldCharType="separate"/>
      </w:r>
      <w:r>
        <w:rPr>
          <w:rStyle w:val="15"/>
          <w:rFonts w:hint="default"/>
          <w:sz w:val="24"/>
          <w:szCs w:val="24"/>
        </w:rPr>
        <w:t>4.</w:t>
      </w:r>
      <w:r>
        <w:rPr>
          <w:rStyle w:val="15"/>
          <w:sz w:val="24"/>
          <w:szCs w:val="24"/>
        </w:rPr>
        <w:t>用人单位满意度</w:t>
      </w:r>
      <w:r>
        <w:rPr>
          <w:sz w:val="24"/>
          <w:szCs w:val="24"/>
        </w:rPr>
        <w:tab/>
      </w:r>
      <w:r>
        <w:rPr>
          <w:rFonts w:hint="eastAsia"/>
          <w:sz w:val="24"/>
          <w:szCs w:val="24"/>
          <w:lang w:val="en-US" w:eastAsia="zh-CN"/>
        </w:rPr>
        <w:t>2</w:t>
      </w:r>
      <w:r>
        <w:rPr>
          <w:sz w:val="24"/>
          <w:szCs w:val="24"/>
        </w:rPr>
        <w:fldChar w:fldCharType="end"/>
      </w:r>
      <w:r>
        <w:rPr>
          <w:rFonts w:hint="eastAsia"/>
          <w:sz w:val="24"/>
          <w:szCs w:val="24"/>
          <w:lang w:val="en-US" w:eastAsia="zh-CN"/>
        </w:rPr>
        <w:t>1</w:t>
      </w:r>
    </w:p>
    <w:p>
      <w:pPr>
        <w:pStyle w:val="10"/>
        <w:tabs>
          <w:tab w:val="right" w:leader="hyphen" w:pos="8296"/>
        </w:tabs>
        <w:spacing w:line="360" w:lineRule="auto"/>
        <w:rPr>
          <w:sz w:val="24"/>
          <w:szCs w:val="24"/>
        </w:rPr>
      </w:pPr>
      <w:r>
        <w:fldChar w:fldCharType="begin"/>
      </w:r>
      <w:r>
        <w:instrText xml:space="preserve"> HYPERLINK \l "_Toc469401136" </w:instrText>
      </w:r>
      <w:r>
        <w:fldChar w:fldCharType="separate"/>
      </w:r>
      <w:r>
        <w:rPr>
          <w:rStyle w:val="15"/>
          <w:sz w:val="24"/>
          <w:szCs w:val="24"/>
        </w:rPr>
        <w:t>第六部分</w:t>
      </w:r>
      <w:r>
        <w:rPr>
          <w:rStyle w:val="15"/>
          <w:rFonts w:eastAsia="宋体"/>
          <w:sz w:val="24"/>
          <w:szCs w:val="24"/>
          <w:lang w:val="en-US" w:eastAsia="zh-CN"/>
        </w:rPr>
        <w:t xml:space="preserve"> </w:t>
      </w:r>
      <w:r>
        <w:rPr>
          <w:rStyle w:val="15"/>
          <w:sz w:val="24"/>
          <w:szCs w:val="24"/>
        </w:rPr>
        <w:t>办学特色培育</w:t>
      </w:r>
      <w:r>
        <w:rPr>
          <w:sz w:val="24"/>
          <w:szCs w:val="24"/>
        </w:rPr>
        <w:tab/>
      </w:r>
      <w:r>
        <w:rPr>
          <w:rFonts w:hint="eastAsia"/>
          <w:sz w:val="24"/>
          <w:szCs w:val="24"/>
          <w:lang w:val="en-US" w:eastAsia="zh-CN"/>
        </w:rPr>
        <w:t>2</w:t>
      </w:r>
      <w:r>
        <w:rPr>
          <w:sz w:val="24"/>
          <w:szCs w:val="24"/>
        </w:rPr>
        <w:fldChar w:fldCharType="end"/>
      </w:r>
      <w:r>
        <w:rPr>
          <w:rFonts w:hint="eastAsia"/>
          <w:sz w:val="24"/>
          <w:szCs w:val="24"/>
          <w:lang w:val="en-US" w:eastAsia="zh-CN"/>
        </w:rPr>
        <w:t>2</w:t>
      </w:r>
    </w:p>
    <w:p>
      <w:pPr>
        <w:pStyle w:val="11"/>
        <w:tabs>
          <w:tab w:val="right" w:leader="hyphen" w:pos="8296"/>
        </w:tabs>
        <w:spacing w:line="360" w:lineRule="auto"/>
        <w:rPr>
          <w:sz w:val="24"/>
          <w:szCs w:val="24"/>
        </w:rPr>
      </w:pPr>
      <w:r>
        <w:fldChar w:fldCharType="begin"/>
      </w:r>
      <w:r>
        <w:instrText xml:space="preserve"> HYPERLINK \l "_Toc469401137" </w:instrText>
      </w:r>
      <w:r>
        <w:fldChar w:fldCharType="separate"/>
      </w:r>
      <w:r>
        <w:rPr>
          <w:rStyle w:val="15"/>
          <w:sz w:val="24"/>
          <w:szCs w:val="24"/>
        </w:rPr>
        <w:t>一、以工为主、以水利为特色的应用型专业结构</w:t>
      </w:r>
      <w:r>
        <w:rPr>
          <w:sz w:val="24"/>
          <w:szCs w:val="24"/>
        </w:rPr>
        <w:tab/>
      </w:r>
      <w:r>
        <w:rPr>
          <w:rFonts w:hint="eastAsia"/>
          <w:sz w:val="24"/>
          <w:szCs w:val="24"/>
          <w:lang w:val="en-US" w:eastAsia="zh-CN"/>
        </w:rPr>
        <w:t>2</w:t>
      </w:r>
      <w:r>
        <w:rPr>
          <w:sz w:val="24"/>
          <w:szCs w:val="24"/>
        </w:rPr>
        <w:fldChar w:fldCharType="end"/>
      </w:r>
      <w:r>
        <w:rPr>
          <w:rFonts w:hint="eastAsia"/>
          <w:sz w:val="24"/>
          <w:szCs w:val="24"/>
          <w:lang w:val="en-US" w:eastAsia="zh-CN"/>
        </w:rPr>
        <w:t>2</w:t>
      </w:r>
    </w:p>
    <w:p>
      <w:pPr>
        <w:pStyle w:val="11"/>
        <w:tabs>
          <w:tab w:val="right" w:leader="hyphen" w:pos="8296"/>
        </w:tabs>
        <w:spacing w:line="360" w:lineRule="auto"/>
        <w:rPr>
          <w:sz w:val="24"/>
          <w:szCs w:val="24"/>
        </w:rPr>
      </w:pPr>
      <w:r>
        <w:fldChar w:fldCharType="begin"/>
      </w:r>
      <w:r>
        <w:instrText xml:space="preserve"> HYPERLINK \l "_Toc469401138" </w:instrText>
      </w:r>
      <w:r>
        <w:fldChar w:fldCharType="separate"/>
      </w:r>
      <w:r>
        <w:rPr>
          <w:rStyle w:val="15"/>
          <w:sz w:val="24"/>
          <w:szCs w:val="24"/>
        </w:rPr>
        <w:t>二、强化校企合作，提高应用型人才培养质量</w:t>
      </w:r>
      <w:r>
        <w:rPr>
          <w:sz w:val="24"/>
          <w:szCs w:val="24"/>
        </w:rPr>
        <w:tab/>
      </w:r>
      <w:r>
        <w:rPr>
          <w:rFonts w:hint="eastAsia"/>
          <w:sz w:val="24"/>
          <w:szCs w:val="24"/>
          <w:lang w:val="en-US" w:eastAsia="zh-CN"/>
        </w:rPr>
        <w:t>2</w:t>
      </w:r>
      <w:r>
        <w:rPr>
          <w:sz w:val="24"/>
          <w:szCs w:val="24"/>
        </w:rPr>
        <w:fldChar w:fldCharType="end"/>
      </w:r>
      <w:r>
        <w:rPr>
          <w:rFonts w:hint="eastAsia"/>
          <w:sz w:val="24"/>
          <w:szCs w:val="24"/>
          <w:lang w:val="en-US" w:eastAsia="zh-CN"/>
        </w:rPr>
        <w:t>2</w:t>
      </w:r>
    </w:p>
    <w:p>
      <w:pPr>
        <w:pStyle w:val="11"/>
        <w:tabs>
          <w:tab w:val="right" w:leader="hyphen" w:pos="8296"/>
        </w:tabs>
        <w:spacing w:line="360" w:lineRule="auto"/>
        <w:rPr>
          <w:sz w:val="24"/>
          <w:szCs w:val="24"/>
        </w:rPr>
      </w:pPr>
      <w:r>
        <w:fldChar w:fldCharType="begin"/>
      </w:r>
      <w:r>
        <w:instrText xml:space="preserve"> HYPERLINK \l "_Toc469401139" </w:instrText>
      </w:r>
      <w:r>
        <w:fldChar w:fldCharType="separate"/>
      </w:r>
      <w:r>
        <w:rPr>
          <w:rStyle w:val="15"/>
          <w:sz w:val="24"/>
          <w:szCs w:val="24"/>
        </w:rPr>
        <w:t>三、面向地方，开展技术开发与服务</w:t>
      </w:r>
      <w:r>
        <w:rPr>
          <w:sz w:val="24"/>
          <w:szCs w:val="24"/>
        </w:rPr>
        <w:tab/>
      </w:r>
      <w:r>
        <w:rPr>
          <w:rFonts w:hint="eastAsia"/>
          <w:sz w:val="24"/>
          <w:szCs w:val="24"/>
          <w:lang w:val="en-US" w:eastAsia="zh-CN"/>
        </w:rPr>
        <w:t>2</w:t>
      </w:r>
      <w:r>
        <w:rPr>
          <w:sz w:val="24"/>
          <w:szCs w:val="24"/>
        </w:rPr>
        <w:fldChar w:fldCharType="end"/>
      </w:r>
      <w:r>
        <w:rPr>
          <w:rFonts w:hint="eastAsia"/>
          <w:sz w:val="24"/>
          <w:szCs w:val="24"/>
          <w:lang w:val="en-US" w:eastAsia="zh-CN"/>
        </w:rPr>
        <w:t>4</w:t>
      </w:r>
    </w:p>
    <w:p>
      <w:pPr>
        <w:pStyle w:val="10"/>
        <w:tabs>
          <w:tab w:val="right" w:leader="hyphen" w:pos="8296"/>
        </w:tabs>
        <w:spacing w:line="360" w:lineRule="auto"/>
        <w:rPr>
          <w:sz w:val="24"/>
          <w:szCs w:val="24"/>
        </w:rPr>
      </w:pPr>
      <w:r>
        <w:fldChar w:fldCharType="begin"/>
      </w:r>
      <w:r>
        <w:instrText xml:space="preserve"> HYPERLINK \l "_Toc469401140" </w:instrText>
      </w:r>
      <w:r>
        <w:fldChar w:fldCharType="separate"/>
      </w:r>
      <w:r>
        <w:rPr>
          <w:rStyle w:val="15"/>
          <w:sz w:val="24"/>
          <w:szCs w:val="24"/>
        </w:rPr>
        <w:t>第七部分</w:t>
      </w:r>
      <w:r>
        <w:rPr>
          <w:rStyle w:val="15"/>
          <w:rFonts w:hint="default"/>
          <w:sz w:val="24"/>
          <w:szCs w:val="24"/>
        </w:rPr>
        <w:t xml:space="preserve"> </w:t>
      </w:r>
      <w:r>
        <w:rPr>
          <w:rStyle w:val="15"/>
          <w:sz w:val="24"/>
          <w:szCs w:val="24"/>
        </w:rPr>
        <w:t>今后努力方向</w:t>
      </w:r>
      <w:r>
        <w:rPr>
          <w:sz w:val="24"/>
          <w:szCs w:val="24"/>
        </w:rPr>
        <w:tab/>
      </w:r>
      <w:r>
        <w:rPr>
          <w:rFonts w:hint="eastAsia"/>
          <w:sz w:val="24"/>
          <w:szCs w:val="24"/>
          <w:lang w:val="en-US" w:eastAsia="zh-CN"/>
        </w:rPr>
        <w:t>2</w:t>
      </w:r>
      <w:r>
        <w:rPr>
          <w:sz w:val="24"/>
          <w:szCs w:val="24"/>
        </w:rPr>
        <w:fldChar w:fldCharType="end"/>
      </w:r>
      <w:r>
        <w:rPr>
          <w:rFonts w:hint="eastAsia"/>
          <w:sz w:val="24"/>
          <w:szCs w:val="24"/>
          <w:lang w:val="en-US" w:eastAsia="zh-CN"/>
        </w:rPr>
        <w:t>5</w:t>
      </w:r>
    </w:p>
    <w:p>
      <w:pPr>
        <w:widowControl/>
        <w:spacing w:line="360" w:lineRule="auto"/>
        <w:sectPr>
          <w:footerReference r:id="rId4" w:type="default"/>
          <w:pgSz w:w="11906" w:h="16838"/>
          <w:pgMar w:top="1440" w:right="1800" w:bottom="1440" w:left="1800" w:header="851" w:footer="992" w:gutter="0"/>
          <w:pgNumType w:fmt="upperRoman" w:start="1"/>
          <w:cols w:space="425" w:num="1"/>
          <w:docGrid w:type="lines" w:linePitch="312" w:charSpace="0"/>
        </w:sectPr>
      </w:pPr>
      <w:r>
        <w:rPr>
          <w:rFonts w:hint="eastAsia" w:ascii="仿宋_GB2312" w:hAnsi="仿宋_GB2312" w:eastAsia="仿宋_GB2312" w:cs="仿宋_GB2312"/>
          <w:sz w:val="28"/>
          <w:szCs w:val="28"/>
        </w:rPr>
        <w:fldChar w:fldCharType="end"/>
      </w:r>
    </w:p>
    <w:p>
      <w:pPr>
        <w:pStyle w:val="2"/>
      </w:pPr>
      <w:bookmarkStart w:id="0" w:name="_Toc469401088"/>
      <w:r>
        <w:rPr>
          <w:rFonts w:hint="eastAsia"/>
          <w:sz w:val="36"/>
          <w:szCs w:val="36"/>
        </w:rPr>
        <w:t>第一部分 本科</w:t>
      </w:r>
      <w:r>
        <w:rPr>
          <w:rFonts w:hint="eastAsia"/>
          <w:sz w:val="36"/>
          <w:szCs w:val="36"/>
          <w:lang w:eastAsia="zh-CN"/>
        </w:rPr>
        <w:t>教育</w:t>
      </w:r>
      <w:r>
        <w:rPr>
          <w:rFonts w:hint="eastAsia"/>
          <w:sz w:val="36"/>
          <w:szCs w:val="36"/>
        </w:rPr>
        <w:t>基本情况</w:t>
      </w:r>
      <w:bookmarkEnd w:id="0"/>
    </w:p>
    <w:p>
      <w:pPr>
        <w:pStyle w:val="3"/>
        <w:rPr>
          <w:sz w:val="32"/>
          <w:szCs w:val="32"/>
        </w:rPr>
      </w:pPr>
      <w:bookmarkStart w:id="1" w:name="_Toc469401089"/>
      <w:r>
        <w:rPr>
          <w:rFonts w:hint="eastAsia"/>
          <w:sz w:val="32"/>
          <w:szCs w:val="32"/>
        </w:rPr>
        <w:t>一、学院概况</w:t>
      </w:r>
      <w:bookmarkEnd w:id="1"/>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6" w:firstLineChars="202"/>
        <w:jc w:val="both"/>
        <w:textAlignment w:val="auto"/>
        <w:outlineLvl w:val="9"/>
        <w:rPr>
          <w:rFonts w:ascii="仿宋_GB2312" w:eastAsia="仿宋_GB2312"/>
          <w:sz w:val="32"/>
          <w:szCs w:val="32"/>
        </w:rPr>
      </w:pPr>
      <w:r>
        <w:rPr>
          <w:rFonts w:hint="eastAsia" w:ascii="仿宋_GB2312" w:eastAsia="仿宋_GB2312"/>
          <w:sz w:val="32"/>
          <w:szCs w:val="32"/>
        </w:rPr>
        <w:t>河海大学文天学院是河海大学</w:t>
      </w:r>
      <w:r>
        <w:rPr>
          <w:rFonts w:hint="eastAsia" w:ascii="仿宋_GB2312" w:eastAsia="仿宋_GB2312"/>
          <w:sz w:val="32"/>
          <w:szCs w:val="32"/>
          <w:lang w:eastAsia="zh-CN"/>
        </w:rPr>
        <w:t>、</w:t>
      </w:r>
      <w:r>
        <w:rPr>
          <w:rFonts w:hint="eastAsia" w:ascii="仿宋_GB2312" w:eastAsia="仿宋_GB2312"/>
          <w:sz w:val="32"/>
          <w:szCs w:val="32"/>
        </w:rPr>
        <w:t>江苏大业投资有限公司</w:t>
      </w:r>
      <w:r>
        <w:rPr>
          <w:rFonts w:hint="eastAsia" w:ascii="仿宋_GB2312" w:eastAsia="仿宋_GB2312"/>
          <w:sz w:val="32"/>
          <w:szCs w:val="32"/>
          <w:lang w:eastAsia="zh-CN"/>
        </w:rPr>
        <w:t>、</w:t>
      </w:r>
      <w:r>
        <w:rPr>
          <w:rFonts w:hint="eastAsia" w:ascii="仿宋_GB2312" w:eastAsia="仿宋_GB2312"/>
          <w:sz w:val="32"/>
          <w:szCs w:val="32"/>
        </w:rPr>
        <w:t xml:space="preserve">无锡市大业房屋建设开发有限公司合作举办的全日制普通本科独立学院。学院于2008年5月经教育部批准设置，是首批完全按照《独立学院设置与管理办法》（教育部第26号令）要求设置的独立学院。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sz w:val="32"/>
          <w:szCs w:val="32"/>
        </w:rPr>
      </w:pPr>
      <w:r>
        <w:rPr>
          <w:rFonts w:hint="eastAsia" w:ascii="仿宋_GB2312" w:eastAsia="仿宋_GB2312"/>
          <w:sz w:val="32"/>
          <w:szCs w:val="32"/>
        </w:rPr>
        <w:t>学院坐落在安徽省马鞍山市，</w:t>
      </w:r>
      <w:r>
        <w:rPr>
          <w:rFonts w:hint="eastAsia" w:ascii="仿宋_GB2312" w:hAnsi="仿宋_GB2312" w:eastAsia="仿宋_GB2312" w:cs="仿宋_GB2312"/>
          <w:sz w:val="32"/>
          <w:szCs w:val="32"/>
        </w:rPr>
        <w:t>是一所以工为主，以水利为特色，工、经、管、艺等多学科协调发展的本科院校。学院从开办之初就坚持“依托母体高校，坚持独立办学”的发展思路，在充分利用河海大学优质教育教学资源的基础上，坚持规范办学，狠抓基础设施、学科专业、师资队伍、管理制度等方面的建设，坚持改革人才培养模式，不断提高办学水平和人才培养质量，着力优化育人环境，走出了一条以“创新、人才、质量、特色”四位一体的办学之路。学院先后荣获“马鞍山市文明单位”、“安徽省非公有制经济先进单位”、“安徽省优秀独立学院”、“全国绿化模范单位”、“全国大学生社会实践先进单位”</w:t>
      </w:r>
      <w:r>
        <w:rPr>
          <w:rFonts w:hint="eastAsia" w:ascii="仿宋_GB2312" w:hAnsi="仿宋_GB2312" w:eastAsia="仿宋_GB2312" w:cs="仿宋_GB2312"/>
          <w:sz w:val="32"/>
          <w:szCs w:val="32"/>
          <w:lang w:eastAsia="zh-CN"/>
        </w:rPr>
        <w:t>、“安徽省文明单位”</w:t>
      </w:r>
      <w:r>
        <w:rPr>
          <w:rFonts w:hint="eastAsia" w:ascii="仿宋_GB2312" w:hAnsi="仿宋_GB2312" w:eastAsia="仿宋_GB2312" w:cs="仿宋_GB2312"/>
          <w:sz w:val="32"/>
          <w:szCs w:val="32"/>
        </w:rPr>
        <w:t>等荣誉称号。</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2"/>
          <w:szCs w:val="32"/>
        </w:rPr>
        <w:t>学院设有水利工程系、土木工程系、电气信息工程系、机械工程系、经济管理系、艺术设计系、国际教育学院、基础部、思政部9个教学单位，设有29个本科专业。</w:t>
      </w:r>
    </w:p>
    <w:p>
      <w:pPr>
        <w:pStyle w:val="3"/>
        <w:rPr>
          <w:sz w:val="32"/>
          <w:szCs w:val="32"/>
        </w:rPr>
      </w:pPr>
      <w:bookmarkStart w:id="2" w:name="_Toc469401090"/>
      <w:r>
        <w:rPr>
          <w:rFonts w:hint="eastAsia"/>
          <w:sz w:val="32"/>
          <w:szCs w:val="32"/>
        </w:rPr>
        <w:t>二、办学定位及服务面向</w:t>
      </w:r>
      <w:bookmarkEnd w:id="2"/>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学院定位：地方应用型高水平大学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人才培养定位：培养具有社会责任感、具有创新精神和实践能力的高水平应用型人才。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32"/>
          <w:szCs w:val="32"/>
        </w:rPr>
        <w:t>服务面向：立足安徽，面向周边，服务地方。</w:t>
      </w:r>
    </w:p>
    <w:p>
      <w:pPr>
        <w:pStyle w:val="3"/>
        <w:rPr>
          <w:sz w:val="32"/>
          <w:szCs w:val="32"/>
        </w:rPr>
      </w:pPr>
      <w:bookmarkStart w:id="3" w:name="_Toc469401091"/>
      <w:r>
        <w:rPr>
          <w:rFonts w:hint="eastAsia"/>
          <w:sz w:val="32"/>
          <w:szCs w:val="32"/>
        </w:rPr>
        <w:t>三、本科专业设置情况</w:t>
      </w:r>
      <w:bookmarkEnd w:id="3"/>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学院根据地方经济社会发展需要，科学布局学科专业结构，现有本科专业29个，覆盖工学、管理学、经济学、艺术学等4个学科门类。其中：工学专业18个，管理学专业7个，经济学专业1个，艺术学专业3个。本科专业设置情况如表1所示。</w:t>
      </w:r>
    </w:p>
    <w:p>
      <w:pPr>
        <w:spacing w:line="360" w:lineRule="auto"/>
        <w:ind w:firstLine="640" w:firstLineChars="200"/>
        <w:jc w:val="center"/>
        <w:rPr>
          <w:rFonts w:ascii="仿宋_GB2312" w:hAnsi="仿宋_GB2312" w:eastAsia="仿宋_GB2312" w:cs="仿宋_GB2312"/>
          <w:sz w:val="30"/>
          <w:szCs w:val="30"/>
        </w:rPr>
      </w:pPr>
      <w:r>
        <w:rPr>
          <w:rFonts w:hint="eastAsia" w:ascii="仿宋_GB2312" w:hAnsi="仿宋_GB2312" w:eastAsia="仿宋_GB2312" w:cs="仿宋_GB2312"/>
          <w:sz w:val="32"/>
          <w:szCs w:val="32"/>
        </w:rPr>
        <w:t>表1  河海大学文天学院本科专业设置情况一览表</w:t>
      </w:r>
    </w:p>
    <w:tbl>
      <w:tblPr>
        <w:tblStyle w:val="16"/>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709"/>
        <w:gridCol w:w="2268"/>
        <w:gridCol w:w="1559"/>
        <w:gridCol w:w="3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1" w:hRule="atLeast"/>
        </w:trPr>
        <w:tc>
          <w:tcPr>
            <w:tcW w:w="959" w:type="dxa"/>
            <w:shd w:val="clear" w:color="auto" w:fill="F2F2F2"/>
            <w:vAlign w:val="center"/>
          </w:tcPr>
          <w:p>
            <w:pPr>
              <w:rPr>
                <w:rFonts w:ascii="仿宋_GB2312" w:hAnsi="仿宋_GB2312" w:eastAsia="仿宋_GB2312" w:cs="仿宋_GB2312"/>
                <w:b/>
                <w:szCs w:val="21"/>
              </w:rPr>
            </w:pPr>
            <w:r>
              <w:rPr>
                <w:rFonts w:hint="eastAsia" w:ascii="仿宋_GB2312" w:hAnsi="仿宋_GB2312" w:eastAsia="仿宋_GB2312" w:cs="仿宋_GB2312"/>
                <w:b/>
                <w:szCs w:val="21"/>
              </w:rPr>
              <w:t>所在系</w:t>
            </w:r>
          </w:p>
        </w:tc>
        <w:tc>
          <w:tcPr>
            <w:tcW w:w="709" w:type="dxa"/>
            <w:shd w:val="clear" w:color="auto" w:fill="F2F2F2"/>
            <w:vAlign w:val="center"/>
          </w:tcPr>
          <w:p>
            <w:pPr>
              <w:rPr>
                <w:rFonts w:ascii="仿宋_GB2312" w:hAnsi="仿宋_GB2312" w:eastAsia="仿宋_GB2312" w:cs="仿宋_GB2312"/>
                <w:b/>
                <w:szCs w:val="21"/>
              </w:rPr>
            </w:pPr>
            <w:r>
              <w:rPr>
                <w:rFonts w:hint="eastAsia" w:ascii="仿宋_GB2312" w:hAnsi="仿宋_GB2312" w:eastAsia="仿宋_GB2312" w:cs="仿宋_GB2312"/>
                <w:b/>
                <w:szCs w:val="21"/>
              </w:rPr>
              <w:t>序号</w:t>
            </w:r>
          </w:p>
        </w:tc>
        <w:tc>
          <w:tcPr>
            <w:tcW w:w="2268" w:type="dxa"/>
            <w:shd w:val="clear" w:color="auto" w:fill="F2F2F2"/>
            <w:vAlign w:val="center"/>
          </w:tcPr>
          <w:p>
            <w:pPr>
              <w:rPr>
                <w:rFonts w:ascii="仿宋_GB2312" w:hAnsi="仿宋_GB2312" w:eastAsia="仿宋_GB2312" w:cs="仿宋_GB2312"/>
                <w:b/>
                <w:szCs w:val="21"/>
              </w:rPr>
            </w:pPr>
            <w:r>
              <w:rPr>
                <w:rFonts w:hint="eastAsia" w:ascii="仿宋_GB2312" w:hAnsi="仿宋_GB2312" w:eastAsia="仿宋_GB2312" w:cs="仿宋_GB2312"/>
                <w:b/>
                <w:szCs w:val="21"/>
              </w:rPr>
              <w:t>专业名称</w:t>
            </w:r>
          </w:p>
        </w:tc>
        <w:tc>
          <w:tcPr>
            <w:tcW w:w="1559" w:type="dxa"/>
            <w:shd w:val="clear" w:color="auto" w:fill="F2F2F2"/>
            <w:vAlign w:val="center"/>
          </w:tcPr>
          <w:p>
            <w:pPr>
              <w:rPr>
                <w:rFonts w:ascii="仿宋_GB2312" w:hAnsi="仿宋_GB2312" w:eastAsia="仿宋_GB2312" w:cs="仿宋_GB2312"/>
                <w:b/>
                <w:szCs w:val="21"/>
              </w:rPr>
            </w:pPr>
            <w:r>
              <w:rPr>
                <w:rFonts w:hint="eastAsia" w:ascii="仿宋_GB2312" w:hAnsi="仿宋_GB2312" w:eastAsia="仿宋_GB2312" w:cs="仿宋_GB2312"/>
                <w:b/>
                <w:szCs w:val="21"/>
              </w:rPr>
              <w:t>一级学科</w:t>
            </w:r>
          </w:p>
        </w:tc>
        <w:tc>
          <w:tcPr>
            <w:tcW w:w="3402" w:type="dxa"/>
            <w:shd w:val="clear" w:color="auto" w:fill="F2F2F2"/>
            <w:vAlign w:val="center"/>
          </w:tcPr>
          <w:p>
            <w:pPr>
              <w:rPr>
                <w:rFonts w:ascii="仿宋_GB2312" w:hAnsi="仿宋_GB2312" w:eastAsia="仿宋_GB2312" w:cs="仿宋_GB2312"/>
                <w:b/>
                <w:szCs w:val="21"/>
              </w:rPr>
            </w:pPr>
            <w:r>
              <w:rPr>
                <w:rFonts w:hint="eastAsia" w:ascii="仿宋_GB2312" w:hAnsi="仿宋_GB2312" w:eastAsia="仿宋_GB2312" w:cs="仿宋_GB2312"/>
                <w:b/>
                <w:szCs w:val="21"/>
              </w:rPr>
              <w:t>承担专业建设项目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59" w:type="dxa"/>
            <w:vMerge w:val="restart"/>
            <w:shd w:val="clear" w:color="auto" w:fill="auto"/>
            <w:vAlign w:val="center"/>
          </w:tcPr>
          <w:p>
            <w:pPr>
              <w:spacing w:line="360" w:lineRule="auto"/>
              <w:rPr>
                <w:rFonts w:hint="eastAsia" w:ascii="仿宋_GB2312" w:hAnsi="仿宋_GB2312" w:eastAsia="仿宋_GB2312" w:cs="仿宋_GB2312"/>
                <w:szCs w:val="21"/>
              </w:rPr>
            </w:pPr>
            <w:r>
              <w:rPr>
                <w:rFonts w:hint="eastAsia" w:ascii="仿宋_GB2312" w:hAnsi="仿宋_GB2312" w:eastAsia="仿宋_GB2312" w:cs="仿宋_GB2312"/>
                <w:szCs w:val="21"/>
              </w:rPr>
              <w:t>水利</w:t>
            </w:r>
          </w:p>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lang w:eastAsia="zh-CN"/>
              </w:rPr>
              <w:t>工程</w:t>
            </w:r>
            <w:r>
              <w:rPr>
                <w:rFonts w:hint="eastAsia" w:ascii="仿宋_GB2312" w:hAnsi="仿宋_GB2312" w:eastAsia="仿宋_GB2312" w:cs="仿宋_GB2312"/>
                <w:szCs w:val="21"/>
              </w:rPr>
              <w:t>系</w:t>
            </w:r>
          </w:p>
        </w:tc>
        <w:tc>
          <w:tcPr>
            <w:tcW w:w="70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1</w:t>
            </w:r>
          </w:p>
        </w:tc>
        <w:tc>
          <w:tcPr>
            <w:tcW w:w="2268"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水利水电工程</w:t>
            </w:r>
          </w:p>
        </w:tc>
        <w:tc>
          <w:tcPr>
            <w:tcW w:w="155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工学</w:t>
            </w:r>
          </w:p>
        </w:tc>
        <w:tc>
          <w:tcPr>
            <w:tcW w:w="3402"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省特色专业</w:t>
            </w:r>
          </w:p>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省振兴计划新专业建设项目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59" w:type="dxa"/>
            <w:vMerge w:val="continue"/>
            <w:shd w:val="clear" w:color="auto" w:fill="auto"/>
            <w:vAlign w:val="center"/>
          </w:tcPr>
          <w:p>
            <w:pPr>
              <w:spacing w:line="360" w:lineRule="auto"/>
              <w:rPr>
                <w:rFonts w:ascii="仿宋_GB2312" w:hAnsi="仿宋_GB2312" w:eastAsia="仿宋_GB2312" w:cs="仿宋_GB2312"/>
                <w:szCs w:val="21"/>
              </w:rPr>
            </w:pPr>
          </w:p>
        </w:tc>
        <w:tc>
          <w:tcPr>
            <w:tcW w:w="70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2</w:t>
            </w:r>
          </w:p>
        </w:tc>
        <w:tc>
          <w:tcPr>
            <w:tcW w:w="2268"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水文与水资源工程</w:t>
            </w:r>
          </w:p>
        </w:tc>
        <w:tc>
          <w:tcPr>
            <w:tcW w:w="155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工学</w:t>
            </w:r>
          </w:p>
        </w:tc>
        <w:tc>
          <w:tcPr>
            <w:tcW w:w="3402" w:type="dxa"/>
            <w:shd w:val="clear" w:color="auto" w:fill="auto"/>
            <w:vAlign w:val="center"/>
          </w:tcPr>
          <w:p>
            <w:pPr>
              <w:spacing w:line="360" w:lineRule="auto"/>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省特色专业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59" w:type="dxa"/>
            <w:vMerge w:val="continue"/>
            <w:shd w:val="clear" w:color="auto" w:fill="auto"/>
            <w:vAlign w:val="center"/>
          </w:tcPr>
          <w:p>
            <w:pPr>
              <w:spacing w:line="360" w:lineRule="auto"/>
              <w:rPr>
                <w:rFonts w:ascii="仿宋_GB2312" w:hAnsi="仿宋_GB2312" w:eastAsia="仿宋_GB2312" w:cs="仿宋_GB2312"/>
                <w:szCs w:val="21"/>
              </w:rPr>
            </w:pPr>
          </w:p>
        </w:tc>
        <w:tc>
          <w:tcPr>
            <w:tcW w:w="70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3</w:t>
            </w:r>
          </w:p>
        </w:tc>
        <w:tc>
          <w:tcPr>
            <w:tcW w:w="2268"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港口航道与海岸工程</w:t>
            </w:r>
          </w:p>
        </w:tc>
        <w:tc>
          <w:tcPr>
            <w:tcW w:w="155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工学</w:t>
            </w:r>
          </w:p>
        </w:tc>
        <w:tc>
          <w:tcPr>
            <w:tcW w:w="3402"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省卓越</w:t>
            </w:r>
            <w:r>
              <w:rPr>
                <w:rFonts w:hint="eastAsia" w:ascii="仿宋_GB2312" w:hAnsi="仿宋_GB2312" w:eastAsia="仿宋_GB2312" w:cs="仿宋_GB2312"/>
                <w:szCs w:val="21"/>
                <w:lang w:eastAsia="zh-CN"/>
              </w:rPr>
              <w:t>人才</w:t>
            </w:r>
            <w:r>
              <w:rPr>
                <w:rFonts w:hint="eastAsia" w:ascii="仿宋_GB2312" w:hAnsi="仿宋_GB2312" w:eastAsia="仿宋_GB2312" w:cs="仿宋_GB2312"/>
                <w:szCs w:val="21"/>
              </w:rPr>
              <w:t>教育培养计划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59" w:type="dxa"/>
            <w:vMerge w:val="continue"/>
            <w:shd w:val="clear" w:color="auto" w:fill="auto"/>
            <w:vAlign w:val="center"/>
          </w:tcPr>
          <w:p>
            <w:pPr>
              <w:spacing w:line="360" w:lineRule="auto"/>
              <w:rPr>
                <w:rFonts w:ascii="仿宋_GB2312" w:hAnsi="仿宋_GB2312" w:eastAsia="仿宋_GB2312" w:cs="仿宋_GB2312"/>
                <w:szCs w:val="21"/>
              </w:rPr>
            </w:pPr>
          </w:p>
        </w:tc>
        <w:tc>
          <w:tcPr>
            <w:tcW w:w="70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4</w:t>
            </w:r>
          </w:p>
        </w:tc>
        <w:tc>
          <w:tcPr>
            <w:tcW w:w="2268"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水务工程</w:t>
            </w:r>
          </w:p>
        </w:tc>
        <w:tc>
          <w:tcPr>
            <w:tcW w:w="155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工学</w:t>
            </w:r>
          </w:p>
        </w:tc>
        <w:tc>
          <w:tcPr>
            <w:tcW w:w="3402"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省特色专业</w:t>
            </w:r>
          </w:p>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省振兴计划新专业建设项目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59" w:type="dxa"/>
            <w:vMerge w:val="restart"/>
            <w:shd w:val="clear" w:color="auto" w:fill="auto"/>
            <w:vAlign w:val="center"/>
          </w:tcPr>
          <w:p>
            <w:pPr>
              <w:spacing w:line="360" w:lineRule="auto"/>
              <w:rPr>
                <w:rFonts w:hint="eastAsia" w:ascii="仿宋_GB2312" w:hAnsi="仿宋_GB2312" w:eastAsia="仿宋_GB2312" w:cs="仿宋_GB2312"/>
                <w:szCs w:val="21"/>
              </w:rPr>
            </w:pPr>
            <w:r>
              <w:rPr>
                <w:rFonts w:hint="eastAsia" w:ascii="仿宋_GB2312" w:hAnsi="仿宋_GB2312" w:eastAsia="仿宋_GB2312" w:cs="仿宋_GB2312"/>
                <w:szCs w:val="21"/>
              </w:rPr>
              <w:t>土木</w:t>
            </w:r>
          </w:p>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lang w:eastAsia="zh-CN"/>
              </w:rPr>
              <w:t>工程</w:t>
            </w:r>
            <w:r>
              <w:rPr>
                <w:rFonts w:hint="eastAsia" w:ascii="仿宋_GB2312" w:hAnsi="仿宋_GB2312" w:eastAsia="仿宋_GB2312" w:cs="仿宋_GB2312"/>
                <w:szCs w:val="21"/>
              </w:rPr>
              <w:t>系</w:t>
            </w:r>
          </w:p>
        </w:tc>
        <w:tc>
          <w:tcPr>
            <w:tcW w:w="70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5</w:t>
            </w:r>
          </w:p>
        </w:tc>
        <w:tc>
          <w:tcPr>
            <w:tcW w:w="2268"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土木工程</w:t>
            </w:r>
          </w:p>
        </w:tc>
        <w:tc>
          <w:tcPr>
            <w:tcW w:w="155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工学</w:t>
            </w:r>
          </w:p>
        </w:tc>
        <w:tc>
          <w:tcPr>
            <w:tcW w:w="3402"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省卓越</w:t>
            </w:r>
            <w:r>
              <w:rPr>
                <w:rFonts w:hint="eastAsia" w:ascii="仿宋_GB2312" w:hAnsi="仿宋_GB2312" w:eastAsia="仿宋_GB2312" w:cs="仿宋_GB2312"/>
                <w:szCs w:val="21"/>
                <w:lang w:eastAsia="zh-CN"/>
              </w:rPr>
              <w:t>人才</w:t>
            </w:r>
            <w:r>
              <w:rPr>
                <w:rFonts w:hint="eastAsia" w:ascii="仿宋_GB2312" w:hAnsi="仿宋_GB2312" w:eastAsia="仿宋_GB2312" w:cs="仿宋_GB2312"/>
                <w:szCs w:val="21"/>
              </w:rPr>
              <w:t>教育培养计划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59" w:type="dxa"/>
            <w:vMerge w:val="continue"/>
            <w:shd w:val="clear" w:color="auto" w:fill="auto"/>
            <w:vAlign w:val="center"/>
          </w:tcPr>
          <w:p>
            <w:pPr>
              <w:spacing w:line="360" w:lineRule="auto"/>
              <w:rPr>
                <w:rFonts w:ascii="仿宋_GB2312" w:hAnsi="仿宋_GB2312" w:eastAsia="仿宋_GB2312" w:cs="仿宋_GB2312"/>
                <w:szCs w:val="21"/>
              </w:rPr>
            </w:pPr>
          </w:p>
        </w:tc>
        <w:tc>
          <w:tcPr>
            <w:tcW w:w="70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6</w:t>
            </w:r>
          </w:p>
        </w:tc>
        <w:tc>
          <w:tcPr>
            <w:tcW w:w="2268"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测绘工程</w:t>
            </w:r>
          </w:p>
        </w:tc>
        <w:tc>
          <w:tcPr>
            <w:tcW w:w="155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工学</w:t>
            </w:r>
          </w:p>
        </w:tc>
        <w:tc>
          <w:tcPr>
            <w:tcW w:w="3402" w:type="dxa"/>
            <w:shd w:val="clear" w:color="auto" w:fill="auto"/>
            <w:vAlign w:val="center"/>
          </w:tcPr>
          <w:p>
            <w:pPr>
              <w:spacing w:line="360" w:lineRule="auto"/>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59" w:type="dxa"/>
            <w:vMerge w:val="continue"/>
            <w:shd w:val="clear" w:color="auto" w:fill="auto"/>
            <w:vAlign w:val="center"/>
          </w:tcPr>
          <w:p>
            <w:pPr>
              <w:spacing w:line="360" w:lineRule="auto"/>
              <w:rPr>
                <w:rFonts w:ascii="仿宋_GB2312" w:hAnsi="仿宋_GB2312" w:eastAsia="仿宋_GB2312" w:cs="仿宋_GB2312"/>
                <w:szCs w:val="21"/>
              </w:rPr>
            </w:pPr>
          </w:p>
        </w:tc>
        <w:tc>
          <w:tcPr>
            <w:tcW w:w="70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7</w:t>
            </w:r>
          </w:p>
        </w:tc>
        <w:tc>
          <w:tcPr>
            <w:tcW w:w="2268"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给排水科学与工程</w:t>
            </w:r>
          </w:p>
        </w:tc>
        <w:tc>
          <w:tcPr>
            <w:tcW w:w="155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工学</w:t>
            </w:r>
          </w:p>
        </w:tc>
        <w:tc>
          <w:tcPr>
            <w:tcW w:w="3402"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省特色专业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59" w:type="dxa"/>
            <w:vMerge w:val="continue"/>
            <w:shd w:val="clear" w:color="auto" w:fill="auto"/>
            <w:vAlign w:val="center"/>
          </w:tcPr>
          <w:p>
            <w:pPr>
              <w:spacing w:line="360" w:lineRule="auto"/>
              <w:rPr>
                <w:rFonts w:ascii="仿宋_GB2312" w:hAnsi="仿宋_GB2312" w:eastAsia="仿宋_GB2312" w:cs="仿宋_GB2312"/>
                <w:szCs w:val="21"/>
              </w:rPr>
            </w:pPr>
          </w:p>
        </w:tc>
        <w:tc>
          <w:tcPr>
            <w:tcW w:w="70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8</w:t>
            </w:r>
          </w:p>
        </w:tc>
        <w:tc>
          <w:tcPr>
            <w:tcW w:w="2268"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交通工程</w:t>
            </w:r>
          </w:p>
        </w:tc>
        <w:tc>
          <w:tcPr>
            <w:tcW w:w="155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工学</w:t>
            </w:r>
          </w:p>
        </w:tc>
        <w:tc>
          <w:tcPr>
            <w:tcW w:w="3402"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省卓越</w:t>
            </w:r>
            <w:r>
              <w:rPr>
                <w:rFonts w:hint="eastAsia" w:ascii="仿宋_GB2312" w:hAnsi="仿宋_GB2312" w:eastAsia="仿宋_GB2312" w:cs="仿宋_GB2312"/>
                <w:szCs w:val="21"/>
                <w:lang w:eastAsia="zh-CN"/>
              </w:rPr>
              <w:t>人才</w:t>
            </w:r>
            <w:r>
              <w:rPr>
                <w:rFonts w:hint="eastAsia" w:ascii="仿宋_GB2312" w:hAnsi="仿宋_GB2312" w:eastAsia="仿宋_GB2312" w:cs="仿宋_GB2312"/>
                <w:szCs w:val="21"/>
              </w:rPr>
              <w:t>教育培养计划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59" w:type="dxa"/>
            <w:vMerge w:val="continue"/>
            <w:shd w:val="clear" w:color="auto" w:fill="auto"/>
            <w:vAlign w:val="center"/>
          </w:tcPr>
          <w:p>
            <w:pPr>
              <w:spacing w:line="360" w:lineRule="auto"/>
              <w:rPr>
                <w:rFonts w:ascii="仿宋_GB2312" w:hAnsi="仿宋_GB2312" w:eastAsia="仿宋_GB2312" w:cs="仿宋_GB2312"/>
                <w:szCs w:val="21"/>
              </w:rPr>
            </w:pPr>
          </w:p>
        </w:tc>
        <w:tc>
          <w:tcPr>
            <w:tcW w:w="70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9</w:t>
            </w:r>
          </w:p>
        </w:tc>
        <w:tc>
          <w:tcPr>
            <w:tcW w:w="2268"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地质工程</w:t>
            </w:r>
          </w:p>
        </w:tc>
        <w:tc>
          <w:tcPr>
            <w:tcW w:w="155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工学</w:t>
            </w:r>
          </w:p>
        </w:tc>
        <w:tc>
          <w:tcPr>
            <w:tcW w:w="3402"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省振兴计划新专业建设项目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59" w:type="dxa"/>
            <w:vMerge w:val="continue"/>
            <w:shd w:val="clear" w:color="auto" w:fill="auto"/>
            <w:vAlign w:val="center"/>
          </w:tcPr>
          <w:p>
            <w:pPr>
              <w:spacing w:line="360" w:lineRule="auto"/>
              <w:rPr>
                <w:rFonts w:ascii="仿宋_GB2312" w:hAnsi="仿宋_GB2312" w:eastAsia="仿宋_GB2312" w:cs="仿宋_GB2312"/>
                <w:szCs w:val="21"/>
              </w:rPr>
            </w:pPr>
          </w:p>
        </w:tc>
        <w:tc>
          <w:tcPr>
            <w:tcW w:w="70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10</w:t>
            </w:r>
          </w:p>
        </w:tc>
        <w:tc>
          <w:tcPr>
            <w:tcW w:w="2268"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安全工程</w:t>
            </w:r>
          </w:p>
        </w:tc>
        <w:tc>
          <w:tcPr>
            <w:tcW w:w="155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工学</w:t>
            </w:r>
          </w:p>
        </w:tc>
        <w:tc>
          <w:tcPr>
            <w:tcW w:w="3402" w:type="dxa"/>
            <w:shd w:val="clear" w:color="auto" w:fill="auto"/>
            <w:vAlign w:val="center"/>
          </w:tcPr>
          <w:p>
            <w:pPr>
              <w:spacing w:line="360" w:lineRule="auto"/>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59" w:type="dxa"/>
            <w:vMerge w:val="restart"/>
            <w:shd w:val="clear" w:color="auto" w:fill="auto"/>
            <w:vAlign w:val="center"/>
          </w:tcPr>
          <w:p>
            <w:pPr>
              <w:spacing w:line="360" w:lineRule="auto"/>
              <w:rPr>
                <w:rFonts w:hint="eastAsia" w:ascii="仿宋_GB2312" w:hAnsi="仿宋_GB2312" w:eastAsia="仿宋_GB2312" w:cs="仿宋_GB2312"/>
                <w:szCs w:val="21"/>
              </w:rPr>
            </w:pPr>
            <w:r>
              <w:rPr>
                <w:rFonts w:hint="eastAsia" w:ascii="仿宋_GB2312" w:hAnsi="仿宋_GB2312" w:eastAsia="仿宋_GB2312" w:cs="仿宋_GB2312"/>
                <w:szCs w:val="21"/>
              </w:rPr>
              <w:t>机械</w:t>
            </w:r>
          </w:p>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lang w:eastAsia="zh-CN"/>
              </w:rPr>
              <w:t>工程</w:t>
            </w:r>
            <w:r>
              <w:rPr>
                <w:rFonts w:hint="eastAsia" w:ascii="仿宋_GB2312" w:hAnsi="仿宋_GB2312" w:eastAsia="仿宋_GB2312" w:cs="仿宋_GB2312"/>
                <w:szCs w:val="21"/>
              </w:rPr>
              <w:t>系</w:t>
            </w:r>
          </w:p>
        </w:tc>
        <w:tc>
          <w:tcPr>
            <w:tcW w:w="70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11</w:t>
            </w:r>
          </w:p>
        </w:tc>
        <w:tc>
          <w:tcPr>
            <w:tcW w:w="2268"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机械工程</w:t>
            </w:r>
          </w:p>
        </w:tc>
        <w:tc>
          <w:tcPr>
            <w:tcW w:w="155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工学</w:t>
            </w:r>
          </w:p>
        </w:tc>
        <w:tc>
          <w:tcPr>
            <w:tcW w:w="3402" w:type="dxa"/>
            <w:shd w:val="clear" w:color="auto" w:fill="auto"/>
            <w:vAlign w:val="center"/>
          </w:tcPr>
          <w:p>
            <w:pPr>
              <w:spacing w:line="360" w:lineRule="auto"/>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59" w:type="dxa"/>
            <w:vMerge w:val="continue"/>
            <w:shd w:val="clear" w:color="auto" w:fill="auto"/>
            <w:vAlign w:val="center"/>
          </w:tcPr>
          <w:p>
            <w:pPr>
              <w:spacing w:line="360" w:lineRule="auto"/>
              <w:rPr>
                <w:rFonts w:ascii="仿宋_GB2312" w:hAnsi="仿宋_GB2312" w:eastAsia="仿宋_GB2312" w:cs="仿宋_GB2312"/>
                <w:szCs w:val="21"/>
              </w:rPr>
            </w:pPr>
          </w:p>
        </w:tc>
        <w:tc>
          <w:tcPr>
            <w:tcW w:w="70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12</w:t>
            </w:r>
          </w:p>
        </w:tc>
        <w:tc>
          <w:tcPr>
            <w:tcW w:w="2268"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车辆工程</w:t>
            </w:r>
          </w:p>
        </w:tc>
        <w:tc>
          <w:tcPr>
            <w:tcW w:w="155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工学</w:t>
            </w:r>
          </w:p>
        </w:tc>
        <w:tc>
          <w:tcPr>
            <w:tcW w:w="3402"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省卓越</w:t>
            </w:r>
            <w:r>
              <w:rPr>
                <w:rFonts w:hint="eastAsia" w:ascii="仿宋_GB2312" w:hAnsi="仿宋_GB2312" w:eastAsia="仿宋_GB2312" w:cs="仿宋_GB2312"/>
                <w:szCs w:val="21"/>
                <w:lang w:eastAsia="zh-CN"/>
              </w:rPr>
              <w:t>人才</w:t>
            </w:r>
            <w:r>
              <w:rPr>
                <w:rFonts w:hint="eastAsia" w:ascii="仿宋_GB2312" w:hAnsi="仿宋_GB2312" w:eastAsia="仿宋_GB2312" w:cs="仿宋_GB2312"/>
                <w:szCs w:val="21"/>
              </w:rPr>
              <w:t>教育培养计划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59" w:type="dxa"/>
            <w:vMerge w:val="continue"/>
            <w:shd w:val="clear" w:color="auto" w:fill="auto"/>
            <w:vAlign w:val="center"/>
          </w:tcPr>
          <w:p>
            <w:pPr>
              <w:spacing w:line="360" w:lineRule="auto"/>
              <w:rPr>
                <w:rFonts w:ascii="仿宋_GB2312" w:hAnsi="仿宋_GB2312" w:eastAsia="仿宋_GB2312" w:cs="仿宋_GB2312"/>
                <w:szCs w:val="21"/>
              </w:rPr>
            </w:pPr>
          </w:p>
        </w:tc>
        <w:tc>
          <w:tcPr>
            <w:tcW w:w="70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13</w:t>
            </w:r>
          </w:p>
        </w:tc>
        <w:tc>
          <w:tcPr>
            <w:tcW w:w="2268"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新能源科学与工程</w:t>
            </w:r>
          </w:p>
        </w:tc>
        <w:tc>
          <w:tcPr>
            <w:tcW w:w="155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工学</w:t>
            </w:r>
          </w:p>
        </w:tc>
        <w:tc>
          <w:tcPr>
            <w:tcW w:w="3402" w:type="dxa"/>
            <w:shd w:val="clear" w:color="auto" w:fill="auto"/>
            <w:vAlign w:val="center"/>
          </w:tcPr>
          <w:p>
            <w:pPr>
              <w:spacing w:line="360" w:lineRule="auto"/>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59" w:type="dxa"/>
            <w:vMerge w:val="continue"/>
            <w:shd w:val="clear" w:color="auto" w:fill="auto"/>
            <w:vAlign w:val="center"/>
          </w:tcPr>
          <w:p>
            <w:pPr>
              <w:spacing w:line="360" w:lineRule="auto"/>
              <w:rPr>
                <w:rFonts w:ascii="仿宋_GB2312" w:hAnsi="仿宋_GB2312" w:eastAsia="仿宋_GB2312" w:cs="仿宋_GB2312"/>
                <w:szCs w:val="21"/>
              </w:rPr>
            </w:pPr>
          </w:p>
        </w:tc>
        <w:tc>
          <w:tcPr>
            <w:tcW w:w="70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14</w:t>
            </w:r>
          </w:p>
        </w:tc>
        <w:tc>
          <w:tcPr>
            <w:tcW w:w="2268"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能源与动力工程</w:t>
            </w:r>
          </w:p>
        </w:tc>
        <w:tc>
          <w:tcPr>
            <w:tcW w:w="155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工学</w:t>
            </w:r>
          </w:p>
        </w:tc>
        <w:tc>
          <w:tcPr>
            <w:tcW w:w="3402" w:type="dxa"/>
            <w:shd w:val="clear" w:color="auto" w:fill="auto"/>
            <w:vAlign w:val="center"/>
          </w:tcPr>
          <w:p>
            <w:pPr>
              <w:spacing w:line="360" w:lineRule="auto"/>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59" w:type="dxa"/>
            <w:vMerge w:val="restart"/>
            <w:shd w:val="clear" w:color="auto" w:fill="auto"/>
            <w:vAlign w:val="center"/>
          </w:tcPr>
          <w:p>
            <w:pPr>
              <w:spacing w:line="360" w:lineRule="auto"/>
              <w:rPr>
                <w:rFonts w:hint="eastAsia" w:ascii="仿宋_GB2312" w:hAnsi="仿宋_GB2312" w:eastAsia="仿宋_GB2312" w:cs="仿宋_GB2312"/>
                <w:szCs w:val="21"/>
              </w:rPr>
            </w:pPr>
            <w:r>
              <w:rPr>
                <w:rFonts w:hint="eastAsia" w:ascii="仿宋_GB2312" w:hAnsi="仿宋_GB2312" w:eastAsia="仿宋_GB2312" w:cs="仿宋_GB2312"/>
                <w:szCs w:val="21"/>
              </w:rPr>
              <w:t>电气</w:t>
            </w:r>
          </w:p>
          <w:p>
            <w:pPr>
              <w:spacing w:line="360" w:lineRule="auto"/>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信息</w:t>
            </w:r>
          </w:p>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lang w:eastAsia="zh-CN"/>
              </w:rPr>
              <w:t>工程</w:t>
            </w:r>
            <w:r>
              <w:rPr>
                <w:rFonts w:hint="eastAsia" w:ascii="仿宋_GB2312" w:hAnsi="仿宋_GB2312" w:eastAsia="仿宋_GB2312" w:cs="仿宋_GB2312"/>
                <w:szCs w:val="21"/>
              </w:rPr>
              <w:t>系</w:t>
            </w:r>
          </w:p>
          <w:p>
            <w:pPr>
              <w:spacing w:line="360" w:lineRule="auto"/>
              <w:rPr>
                <w:rFonts w:ascii="仿宋_GB2312" w:hAnsi="仿宋_GB2312" w:eastAsia="仿宋_GB2312" w:cs="仿宋_GB2312"/>
                <w:szCs w:val="21"/>
              </w:rPr>
            </w:pPr>
          </w:p>
        </w:tc>
        <w:tc>
          <w:tcPr>
            <w:tcW w:w="70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15</w:t>
            </w:r>
          </w:p>
        </w:tc>
        <w:tc>
          <w:tcPr>
            <w:tcW w:w="2268"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计算机科学与技术</w:t>
            </w:r>
          </w:p>
        </w:tc>
        <w:tc>
          <w:tcPr>
            <w:tcW w:w="155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工学</w:t>
            </w:r>
          </w:p>
        </w:tc>
        <w:tc>
          <w:tcPr>
            <w:tcW w:w="3402"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省卓越</w:t>
            </w:r>
            <w:r>
              <w:rPr>
                <w:rFonts w:hint="eastAsia" w:ascii="仿宋_GB2312" w:hAnsi="仿宋_GB2312" w:eastAsia="仿宋_GB2312" w:cs="仿宋_GB2312"/>
                <w:szCs w:val="21"/>
                <w:lang w:eastAsia="zh-CN"/>
              </w:rPr>
              <w:t>人才</w:t>
            </w:r>
            <w:r>
              <w:rPr>
                <w:rFonts w:hint="eastAsia" w:ascii="仿宋_GB2312" w:hAnsi="仿宋_GB2312" w:eastAsia="仿宋_GB2312" w:cs="仿宋_GB2312"/>
                <w:szCs w:val="21"/>
              </w:rPr>
              <w:t>教育培养计划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59" w:type="dxa"/>
            <w:vMerge w:val="continue"/>
            <w:shd w:val="clear" w:color="auto" w:fill="auto"/>
            <w:vAlign w:val="center"/>
          </w:tcPr>
          <w:p>
            <w:pPr>
              <w:spacing w:line="360" w:lineRule="auto"/>
              <w:rPr>
                <w:rFonts w:ascii="仿宋_GB2312" w:hAnsi="仿宋_GB2312" w:eastAsia="仿宋_GB2312" w:cs="仿宋_GB2312"/>
                <w:szCs w:val="21"/>
              </w:rPr>
            </w:pPr>
          </w:p>
        </w:tc>
        <w:tc>
          <w:tcPr>
            <w:tcW w:w="70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16</w:t>
            </w:r>
          </w:p>
        </w:tc>
        <w:tc>
          <w:tcPr>
            <w:tcW w:w="2268"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电气工程及其自动化</w:t>
            </w:r>
          </w:p>
        </w:tc>
        <w:tc>
          <w:tcPr>
            <w:tcW w:w="155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工学</w:t>
            </w:r>
          </w:p>
        </w:tc>
        <w:tc>
          <w:tcPr>
            <w:tcW w:w="3402" w:type="dxa"/>
            <w:shd w:val="clear" w:color="auto" w:fill="auto"/>
            <w:vAlign w:val="center"/>
          </w:tcPr>
          <w:p>
            <w:pPr>
              <w:spacing w:line="360" w:lineRule="auto"/>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59" w:type="dxa"/>
            <w:vMerge w:val="continue"/>
            <w:shd w:val="clear" w:color="auto" w:fill="auto"/>
            <w:vAlign w:val="center"/>
          </w:tcPr>
          <w:p>
            <w:pPr>
              <w:spacing w:line="360" w:lineRule="auto"/>
              <w:rPr>
                <w:rFonts w:ascii="仿宋_GB2312" w:hAnsi="仿宋_GB2312" w:eastAsia="仿宋_GB2312" w:cs="仿宋_GB2312"/>
                <w:szCs w:val="21"/>
              </w:rPr>
            </w:pPr>
          </w:p>
        </w:tc>
        <w:tc>
          <w:tcPr>
            <w:tcW w:w="70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17</w:t>
            </w:r>
          </w:p>
        </w:tc>
        <w:tc>
          <w:tcPr>
            <w:tcW w:w="2268"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自动化</w:t>
            </w:r>
          </w:p>
        </w:tc>
        <w:tc>
          <w:tcPr>
            <w:tcW w:w="155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工学</w:t>
            </w:r>
          </w:p>
        </w:tc>
        <w:tc>
          <w:tcPr>
            <w:tcW w:w="3402" w:type="dxa"/>
            <w:shd w:val="clear" w:color="auto" w:fill="auto"/>
            <w:vAlign w:val="center"/>
          </w:tcPr>
          <w:p>
            <w:pPr>
              <w:spacing w:line="360" w:lineRule="auto"/>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59" w:type="dxa"/>
            <w:vMerge w:val="continue"/>
            <w:shd w:val="clear" w:color="auto" w:fill="auto"/>
            <w:vAlign w:val="center"/>
          </w:tcPr>
          <w:p>
            <w:pPr>
              <w:spacing w:line="360" w:lineRule="auto"/>
              <w:rPr>
                <w:rFonts w:ascii="仿宋_GB2312" w:hAnsi="仿宋_GB2312" w:eastAsia="仿宋_GB2312" w:cs="仿宋_GB2312"/>
                <w:szCs w:val="21"/>
              </w:rPr>
            </w:pPr>
          </w:p>
        </w:tc>
        <w:tc>
          <w:tcPr>
            <w:tcW w:w="70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18</w:t>
            </w:r>
          </w:p>
        </w:tc>
        <w:tc>
          <w:tcPr>
            <w:tcW w:w="2268"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通信工程</w:t>
            </w:r>
          </w:p>
        </w:tc>
        <w:tc>
          <w:tcPr>
            <w:tcW w:w="155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工学</w:t>
            </w:r>
          </w:p>
        </w:tc>
        <w:tc>
          <w:tcPr>
            <w:tcW w:w="3402" w:type="dxa"/>
            <w:shd w:val="clear" w:color="auto" w:fill="auto"/>
            <w:vAlign w:val="center"/>
          </w:tcPr>
          <w:p>
            <w:pPr>
              <w:spacing w:line="360" w:lineRule="auto"/>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59" w:type="dxa"/>
            <w:vMerge w:val="restart"/>
            <w:shd w:val="clear" w:color="auto" w:fill="auto"/>
            <w:vAlign w:val="center"/>
          </w:tcPr>
          <w:p>
            <w:pPr>
              <w:spacing w:line="360" w:lineRule="auto"/>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经济</w:t>
            </w:r>
          </w:p>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lang w:eastAsia="zh-CN"/>
              </w:rPr>
              <w:t>管理</w:t>
            </w:r>
            <w:r>
              <w:rPr>
                <w:rFonts w:hint="eastAsia" w:ascii="仿宋_GB2312" w:hAnsi="仿宋_GB2312" w:eastAsia="仿宋_GB2312" w:cs="仿宋_GB2312"/>
                <w:szCs w:val="21"/>
              </w:rPr>
              <w:t>系</w:t>
            </w:r>
          </w:p>
        </w:tc>
        <w:tc>
          <w:tcPr>
            <w:tcW w:w="70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19</w:t>
            </w:r>
          </w:p>
        </w:tc>
        <w:tc>
          <w:tcPr>
            <w:tcW w:w="2268"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国际经济与贸易</w:t>
            </w:r>
          </w:p>
        </w:tc>
        <w:tc>
          <w:tcPr>
            <w:tcW w:w="155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经济学</w:t>
            </w:r>
          </w:p>
        </w:tc>
        <w:tc>
          <w:tcPr>
            <w:tcW w:w="3402"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省综合改革试点专业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59" w:type="dxa"/>
            <w:vMerge w:val="continue"/>
            <w:shd w:val="clear" w:color="auto" w:fill="auto"/>
            <w:vAlign w:val="center"/>
          </w:tcPr>
          <w:p>
            <w:pPr>
              <w:spacing w:line="360" w:lineRule="auto"/>
              <w:rPr>
                <w:rFonts w:ascii="仿宋_GB2312" w:hAnsi="仿宋_GB2312" w:eastAsia="仿宋_GB2312" w:cs="仿宋_GB2312"/>
                <w:szCs w:val="21"/>
              </w:rPr>
            </w:pPr>
          </w:p>
        </w:tc>
        <w:tc>
          <w:tcPr>
            <w:tcW w:w="70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20</w:t>
            </w:r>
          </w:p>
        </w:tc>
        <w:tc>
          <w:tcPr>
            <w:tcW w:w="2268"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工程管理</w:t>
            </w:r>
          </w:p>
        </w:tc>
        <w:tc>
          <w:tcPr>
            <w:tcW w:w="155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管理学</w:t>
            </w:r>
          </w:p>
        </w:tc>
        <w:tc>
          <w:tcPr>
            <w:tcW w:w="3402"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省振兴计划新专业建设项目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59" w:type="dxa"/>
            <w:vMerge w:val="continue"/>
            <w:shd w:val="clear" w:color="auto" w:fill="auto"/>
            <w:vAlign w:val="center"/>
          </w:tcPr>
          <w:p>
            <w:pPr>
              <w:spacing w:line="360" w:lineRule="auto"/>
              <w:rPr>
                <w:rFonts w:ascii="仿宋_GB2312" w:hAnsi="仿宋_GB2312" w:eastAsia="仿宋_GB2312" w:cs="仿宋_GB2312"/>
                <w:szCs w:val="21"/>
              </w:rPr>
            </w:pPr>
          </w:p>
        </w:tc>
        <w:tc>
          <w:tcPr>
            <w:tcW w:w="70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21</w:t>
            </w:r>
          </w:p>
        </w:tc>
        <w:tc>
          <w:tcPr>
            <w:tcW w:w="2268"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人力资源管理</w:t>
            </w:r>
          </w:p>
        </w:tc>
        <w:tc>
          <w:tcPr>
            <w:tcW w:w="155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管理学</w:t>
            </w:r>
          </w:p>
        </w:tc>
        <w:tc>
          <w:tcPr>
            <w:tcW w:w="3402" w:type="dxa"/>
            <w:shd w:val="clear" w:color="auto" w:fill="auto"/>
            <w:vAlign w:val="center"/>
          </w:tcPr>
          <w:p>
            <w:pPr>
              <w:spacing w:line="360" w:lineRule="auto"/>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59" w:type="dxa"/>
            <w:vMerge w:val="continue"/>
            <w:shd w:val="clear" w:color="auto" w:fill="auto"/>
            <w:vAlign w:val="center"/>
          </w:tcPr>
          <w:p>
            <w:pPr>
              <w:spacing w:line="360" w:lineRule="auto"/>
              <w:rPr>
                <w:rFonts w:ascii="仿宋_GB2312" w:hAnsi="仿宋_GB2312" w:eastAsia="仿宋_GB2312" w:cs="仿宋_GB2312"/>
                <w:szCs w:val="21"/>
              </w:rPr>
            </w:pPr>
          </w:p>
        </w:tc>
        <w:tc>
          <w:tcPr>
            <w:tcW w:w="70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22</w:t>
            </w:r>
          </w:p>
        </w:tc>
        <w:tc>
          <w:tcPr>
            <w:tcW w:w="2268"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会计学</w:t>
            </w:r>
          </w:p>
        </w:tc>
        <w:tc>
          <w:tcPr>
            <w:tcW w:w="155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管理学</w:t>
            </w:r>
          </w:p>
        </w:tc>
        <w:tc>
          <w:tcPr>
            <w:tcW w:w="3402" w:type="dxa"/>
            <w:shd w:val="clear" w:color="auto" w:fill="auto"/>
            <w:vAlign w:val="center"/>
          </w:tcPr>
          <w:p>
            <w:pPr>
              <w:spacing w:line="360" w:lineRule="auto"/>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59" w:type="dxa"/>
            <w:vMerge w:val="continue"/>
            <w:shd w:val="clear" w:color="auto" w:fill="auto"/>
            <w:vAlign w:val="center"/>
          </w:tcPr>
          <w:p>
            <w:pPr>
              <w:spacing w:line="360" w:lineRule="auto"/>
              <w:rPr>
                <w:rFonts w:ascii="仿宋_GB2312" w:hAnsi="仿宋_GB2312" w:eastAsia="仿宋_GB2312" w:cs="仿宋_GB2312"/>
                <w:szCs w:val="21"/>
              </w:rPr>
            </w:pPr>
          </w:p>
        </w:tc>
        <w:tc>
          <w:tcPr>
            <w:tcW w:w="70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23</w:t>
            </w:r>
          </w:p>
        </w:tc>
        <w:tc>
          <w:tcPr>
            <w:tcW w:w="2268"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信息管理与信息系统</w:t>
            </w:r>
          </w:p>
        </w:tc>
        <w:tc>
          <w:tcPr>
            <w:tcW w:w="155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管理学</w:t>
            </w:r>
          </w:p>
        </w:tc>
        <w:tc>
          <w:tcPr>
            <w:tcW w:w="3402" w:type="dxa"/>
            <w:shd w:val="clear" w:color="auto" w:fill="auto"/>
            <w:vAlign w:val="center"/>
          </w:tcPr>
          <w:p>
            <w:pPr>
              <w:spacing w:line="360" w:lineRule="auto"/>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59" w:type="dxa"/>
            <w:vMerge w:val="continue"/>
            <w:shd w:val="clear" w:color="auto" w:fill="auto"/>
            <w:vAlign w:val="center"/>
          </w:tcPr>
          <w:p>
            <w:pPr>
              <w:spacing w:line="360" w:lineRule="auto"/>
              <w:rPr>
                <w:rFonts w:ascii="仿宋_GB2312" w:hAnsi="仿宋_GB2312" w:eastAsia="仿宋_GB2312" w:cs="仿宋_GB2312"/>
                <w:szCs w:val="21"/>
              </w:rPr>
            </w:pPr>
          </w:p>
        </w:tc>
        <w:tc>
          <w:tcPr>
            <w:tcW w:w="70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24</w:t>
            </w:r>
          </w:p>
        </w:tc>
        <w:tc>
          <w:tcPr>
            <w:tcW w:w="2268"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财务管理</w:t>
            </w:r>
          </w:p>
        </w:tc>
        <w:tc>
          <w:tcPr>
            <w:tcW w:w="155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管理学</w:t>
            </w:r>
          </w:p>
        </w:tc>
        <w:tc>
          <w:tcPr>
            <w:tcW w:w="3402"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省综合改革试点专业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59" w:type="dxa"/>
            <w:vMerge w:val="continue"/>
            <w:shd w:val="clear" w:color="auto" w:fill="auto"/>
            <w:vAlign w:val="center"/>
          </w:tcPr>
          <w:p>
            <w:pPr>
              <w:spacing w:line="360" w:lineRule="auto"/>
              <w:rPr>
                <w:rFonts w:ascii="仿宋_GB2312" w:hAnsi="仿宋_GB2312" w:eastAsia="仿宋_GB2312" w:cs="仿宋_GB2312"/>
                <w:szCs w:val="21"/>
              </w:rPr>
            </w:pPr>
          </w:p>
        </w:tc>
        <w:tc>
          <w:tcPr>
            <w:tcW w:w="70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25</w:t>
            </w:r>
          </w:p>
        </w:tc>
        <w:tc>
          <w:tcPr>
            <w:tcW w:w="2268"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酒店管理</w:t>
            </w:r>
          </w:p>
        </w:tc>
        <w:tc>
          <w:tcPr>
            <w:tcW w:w="155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管理学</w:t>
            </w:r>
          </w:p>
        </w:tc>
        <w:tc>
          <w:tcPr>
            <w:tcW w:w="3402" w:type="dxa"/>
            <w:shd w:val="clear" w:color="auto" w:fill="auto"/>
            <w:vAlign w:val="center"/>
          </w:tcPr>
          <w:p>
            <w:pPr>
              <w:spacing w:line="360" w:lineRule="auto"/>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59" w:type="dxa"/>
            <w:vMerge w:val="continue"/>
            <w:shd w:val="clear" w:color="auto" w:fill="auto"/>
            <w:vAlign w:val="center"/>
          </w:tcPr>
          <w:p>
            <w:pPr>
              <w:spacing w:line="360" w:lineRule="auto"/>
              <w:rPr>
                <w:rFonts w:ascii="仿宋_GB2312" w:hAnsi="仿宋_GB2312" w:eastAsia="仿宋_GB2312" w:cs="仿宋_GB2312"/>
                <w:szCs w:val="21"/>
              </w:rPr>
            </w:pPr>
          </w:p>
        </w:tc>
        <w:tc>
          <w:tcPr>
            <w:tcW w:w="70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26</w:t>
            </w:r>
          </w:p>
        </w:tc>
        <w:tc>
          <w:tcPr>
            <w:tcW w:w="2268"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工程造价</w:t>
            </w:r>
          </w:p>
        </w:tc>
        <w:tc>
          <w:tcPr>
            <w:tcW w:w="155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管理学</w:t>
            </w:r>
          </w:p>
        </w:tc>
        <w:tc>
          <w:tcPr>
            <w:tcW w:w="3402" w:type="dxa"/>
            <w:shd w:val="clear" w:color="auto" w:fill="auto"/>
            <w:vAlign w:val="center"/>
          </w:tcPr>
          <w:p>
            <w:pPr>
              <w:spacing w:line="360" w:lineRule="auto"/>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59" w:type="dxa"/>
            <w:vMerge w:val="restart"/>
            <w:shd w:val="clear" w:color="auto" w:fill="auto"/>
            <w:vAlign w:val="center"/>
          </w:tcPr>
          <w:p>
            <w:pPr>
              <w:spacing w:line="360" w:lineRule="auto"/>
              <w:rPr>
                <w:rFonts w:hint="eastAsia" w:ascii="仿宋_GB2312" w:hAnsi="仿宋_GB2312" w:eastAsia="仿宋_GB2312" w:cs="仿宋_GB2312"/>
                <w:szCs w:val="21"/>
              </w:rPr>
            </w:pPr>
            <w:r>
              <w:rPr>
                <w:rFonts w:hint="eastAsia" w:ascii="仿宋_GB2312" w:hAnsi="仿宋_GB2312" w:eastAsia="仿宋_GB2312" w:cs="仿宋_GB2312"/>
                <w:szCs w:val="21"/>
              </w:rPr>
              <w:t>艺术</w:t>
            </w:r>
          </w:p>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lang w:eastAsia="zh-CN"/>
              </w:rPr>
              <w:t>设计</w:t>
            </w:r>
            <w:r>
              <w:rPr>
                <w:rFonts w:hint="eastAsia" w:ascii="仿宋_GB2312" w:hAnsi="仿宋_GB2312" w:eastAsia="仿宋_GB2312" w:cs="仿宋_GB2312"/>
                <w:szCs w:val="21"/>
              </w:rPr>
              <w:t>系</w:t>
            </w:r>
          </w:p>
        </w:tc>
        <w:tc>
          <w:tcPr>
            <w:tcW w:w="70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27</w:t>
            </w:r>
          </w:p>
        </w:tc>
        <w:tc>
          <w:tcPr>
            <w:tcW w:w="2268"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环境设计</w:t>
            </w:r>
          </w:p>
        </w:tc>
        <w:tc>
          <w:tcPr>
            <w:tcW w:w="1559" w:type="dxa"/>
            <w:shd w:val="clear" w:color="auto" w:fill="auto"/>
            <w:vAlign w:val="center"/>
          </w:tcPr>
          <w:p>
            <w:pPr>
              <w:spacing w:line="360" w:lineRule="auto"/>
              <w:ind w:right="-107" w:rightChars="-51"/>
              <w:rPr>
                <w:rFonts w:ascii="仿宋_GB2312" w:hAnsi="仿宋_GB2312" w:eastAsia="仿宋_GB2312" w:cs="仿宋_GB2312"/>
                <w:szCs w:val="21"/>
              </w:rPr>
            </w:pPr>
            <w:r>
              <w:rPr>
                <w:rFonts w:hint="eastAsia" w:ascii="仿宋_GB2312" w:hAnsi="仿宋_GB2312" w:eastAsia="仿宋_GB2312" w:cs="仿宋_GB2312"/>
                <w:szCs w:val="21"/>
              </w:rPr>
              <w:t>艺术学</w:t>
            </w:r>
          </w:p>
        </w:tc>
        <w:tc>
          <w:tcPr>
            <w:tcW w:w="3402" w:type="dxa"/>
            <w:shd w:val="clear" w:color="auto" w:fill="auto"/>
            <w:vAlign w:val="center"/>
          </w:tcPr>
          <w:p>
            <w:pPr>
              <w:spacing w:line="360" w:lineRule="auto"/>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59" w:type="dxa"/>
            <w:vMerge w:val="continue"/>
            <w:shd w:val="clear" w:color="auto" w:fill="auto"/>
            <w:vAlign w:val="center"/>
          </w:tcPr>
          <w:p>
            <w:pPr>
              <w:spacing w:line="360" w:lineRule="auto"/>
              <w:rPr>
                <w:rFonts w:ascii="仿宋_GB2312" w:hAnsi="仿宋_GB2312" w:eastAsia="仿宋_GB2312" w:cs="仿宋_GB2312"/>
                <w:szCs w:val="21"/>
              </w:rPr>
            </w:pPr>
          </w:p>
        </w:tc>
        <w:tc>
          <w:tcPr>
            <w:tcW w:w="70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28</w:t>
            </w:r>
          </w:p>
        </w:tc>
        <w:tc>
          <w:tcPr>
            <w:tcW w:w="2268"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数字媒体艺术</w:t>
            </w:r>
          </w:p>
        </w:tc>
        <w:tc>
          <w:tcPr>
            <w:tcW w:w="1559" w:type="dxa"/>
            <w:shd w:val="clear" w:color="auto" w:fill="auto"/>
            <w:vAlign w:val="center"/>
          </w:tcPr>
          <w:p>
            <w:pPr>
              <w:spacing w:line="360" w:lineRule="auto"/>
              <w:ind w:right="-107" w:rightChars="-51"/>
              <w:rPr>
                <w:rFonts w:ascii="仿宋_GB2312" w:hAnsi="仿宋_GB2312" w:eastAsia="仿宋_GB2312" w:cs="仿宋_GB2312"/>
                <w:szCs w:val="21"/>
              </w:rPr>
            </w:pPr>
            <w:r>
              <w:rPr>
                <w:rFonts w:hint="eastAsia" w:ascii="仿宋_GB2312" w:hAnsi="仿宋_GB2312" w:eastAsia="仿宋_GB2312" w:cs="仿宋_GB2312"/>
                <w:szCs w:val="21"/>
              </w:rPr>
              <w:t>艺术学</w:t>
            </w:r>
          </w:p>
        </w:tc>
        <w:tc>
          <w:tcPr>
            <w:tcW w:w="3402" w:type="dxa"/>
            <w:shd w:val="clear" w:color="auto" w:fill="auto"/>
            <w:vAlign w:val="center"/>
          </w:tcPr>
          <w:p>
            <w:pPr>
              <w:spacing w:line="360" w:lineRule="auto"/>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59" w:type="dxa"/>
            <w:vMerge w:val="continue"/>
            <w:shd w:val="clear" w:color="auto" w:fill="auto"/>
            <w:vAlign w:val="center"/>
          </w:tcPr>
          <w:p>
            <w:pPr>
              <w:spacing w:line="360" w:lineRule="auto"/>
              <w:rPr>
                <w:rFonts w:ascii="仿宋_GB2312" w:hAnsi="仿宋_GB2312" w:eastAsia="仿宋_GB2312" w:cs="仿宋_GB2312"/>
                <w:szCs w:val="21"/>
              </w:rPr>
            </w:pPr>
          </w:p>
        </w:tc>
        <w:tc>
          <w:tcPr>
            <w:tcW w:w="709"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29</w:t>
            </w:r>
          </w:p>
        </w:tc>
        <w:tc>
          <w:tcPr>
            <w:tcW w:w="2268" w:type="dxa"/>
            <w:shd w:val="clear" w:color="auto" w:fill="auto"/>
            <w:vAlign w:val="center"/>
          </w:tcPr>
          <w:p>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公共艺术</w:t>
            </w:r>
          </w:p>
        </w:tc>
        <w:tc>
          <w:tcPr>
            <w:tcW w:w="1559" w:type="dxa"/>
            <w:shd w:val="clear" w:color="auto" w:fill="auto"/>
            <w:vAlign w:val="center"/>
          </w:tcPr>
          <w:p>
            <w:pPr>
              <w:spacing w:line="360" w:lineRule="auto"/>
              <w:ind w:right="-107" w:rightChars="-51"/>
              <w:rPr>
                <w:rFonts w:ascii="仿宋_GB2312" w:hAnsi="仿宋_GB2312" w:eastAsia="仿宋_GB2312" w:cs="仿宋_GB2312"/>
                <w:szCs w:val="21"/>
              </w:rPr>
            </w:pPr>
            <w:r>
              <w:rPr>
                <w:rFonts w:hint="eastAsia" w:ascii="仿宋_GB2312" w:hAnsi="仿宋_GB2312" w:eastAsia="仿宋_GB2312" w:cs="仿宋_GB2312"/>
                <w:szCs w:val="21"/>
              </w:rPr>
              <w:t>艺术学</w:t>
            </w:r>
          </w:p>
        </w:tc>
        <w:tc>
          <w:tcPr>
            <w:tcW w:w="3402" w:type="dxa"/>
            <w:shd w:val="clear" w:color="auto" w:fill="auto"/>
            <w:vAlign w:val="center"/>
          </w:tcPr>
          <w:p>
            <w:pPr>
              <w:spacing w:line="360" w:lineRule="auto"/>
              <w:rPr>
                <w:rFonts w:ascii="仿宋_GB2312" w:hAnsi="仿宋_GB2312" w:eastAsia="仿宋_GB2312" w:cs="仿宋_GB2312"/>
                <w:szCs w:val="21"/>
              </w:rPr>
            </w:pPr>
          </w:p>
        </w:tc>
      </w:tr>
    </w:tbl>
    <w:p>
      <w:pPr>
        <w:pStyle w:val="3"/>
        <w:rPr>
          <w:sz w:val="32"/>
          <w:szCs w:val="32"/>
        </w:rPr>
      </w:pPr>
      <w:bookmarkStart w:id="4" w:name="_Toc469401092"/>
      <w:r>
        <w:rPr>
          <w:rFonts w:hint="eastAsia"/>
          <w:sz w:val="32"/>
          <w:szCs w:val="32"/>
        </w:rPr>
        <w:t>四、在校生及招生情况</w:t>
      </w:r>
      <w:bookmarkEnd w:id="4"/>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截止201</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月3</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日，我院全日制本科在校生数为12</w:t>
      </w:r>
      <w:r>
        <w:rPr>
          <w:rFonts w:hint="eastAsia" w:ascii="仿宋_GB2312" w:hAnsi="仿宋_GB2312" w:eastAsia="仿宋_GB2312" w:cs="仿宋_GB2312"/>
          <w:color w:val="auto"/>
          <w:sz w:val="32"/>
          <w:szCs w:val="32"/>
          <w:lang w:val="en-US" w:eastAsia="zh-CN"/>
        </w:rPr>
        <w:t>302</w:t>
      </w:r>
      <w:r>
        <w:rPr>
          <w:rFonts w:hint="eastAsia" w:ascii="仿宋_GB2312" w:hAnsi="仿宋_GB2312" w:eastAsia="仿宋_GB2312" w:cs="仿宋_GB2312"/>
          <w:color w:val="auto"/>
          <w:sz w:val="32"/>
          <w:szCs w:val="32"/>
        </w:rPr>
        <w:t>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学院参加本科第三批次招生。201</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年计划招生专业2</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个，实际招生专业2</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个。201</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年本科共录取本科新生3</w:t>
      </w:r>
      <w:r>
        <w:rPr>
          <w:rFonts w:hint="eastAsia" w:ascii="仿宋_GB2312" w:hAnsi="仿宋_GB2312" w:eastAsia="仿宋_GB2312" w:cs="仿宋_GB2312"/>
          <w:color w:val="auto"/>
          <w:sz w:val="32"/>
          <w:szCs w:val="32"/>
          <w:highlight w:val="none"/>
          <w:lang w:val="en-US" w:eastAsia="zh-CN"/>
        </w:rPr>
        <w:t>173</w:t>
      </w:r>
      <w:r>
        <w:rPr>
          <w:rFonts w:hint="eastAsia" w:ascii="仿宋_GB2312" w:hAnsi="仿宋_GB2312" w:eastAsia="仿宋_GB2312" w:cs="仿宋_GB2312"/>
          <w:color w:val="auto"/>
          <w:sz w:val="32"/>
          <w:szCs w:val="32"/>
          <w:highlight w:val="none"/>
        </w:rPr>
        <w:t>人。</w:t>
      </w:r>
    </w:p>
    <w:p>
      <w:pPr>
        <w:pStyle w:val="2"/>
        <w:rPr>
          <w:rStyle w:val="17"/>
          <w:b/>
          <w:bCs/>
        </w:rPr>
      </w:pPr>
      <w:bookmarkStart w:id="5" w:name="_Toc469401093"/>
      <w:r>
        <w:rPr>
          <w:rStyle w:val="17"/>
          <w:rFonts w:hint="eastAsia"/>
          <w:b/>
          <w:bCs/>
          <w:sz w:val="36"/>
          <w:szCs w:val="36"/>
        </w:rPr>
        <w:t>第二部分 师资与教学条件</w:t>
      </w:r>
      <w:bookmarkEnd w:id="5"/>
    </w:p>
    <w:p>
      <w:pPr>
        <w:pStyle w:val="3"/>
        <w:rPr>
          <w:sz w:val="36"/>
          <w:szCs w:val="36"/>
        </w:rPr>
      </w:pPr>
      <w:bookmarkStart w:id="6" w:name="_Toc469401094"/>
      <w:r>
        <w:rPr>
          <w:rFonts w:hint="eastAsia"/>
          <w:sz w:val="32"/>
          <w:szCs w:val="32"/>
        </w:rPr>
        <w:t>一、教师队伍基本情况及建设举措</w:t>
      </w:r>
      <w:bookmarkEnd w:id="6"/>
    </w:p>
    <w:p>
      <w:pPr>
        <w:pStyle w:val="4"/>
        <w:rPr>
          <w:rFonts w:hint="eastAsia" w:asciiTheme="majorEastAsia" w:hAnsiTheme="majorEastAsia" w:eastAsiaTheme="majorEastAsia" w:cstheme="majorEastAsia"/>
          <w:sz w:val="32"/>
          <w:szCs w:val="32"/>
        </w:rPr>
      </w:pPr>
      <w:bookmarkStart w:id="7" w:name="_Toc469401095"/>
      <w:r>
        <w:rPr>
          <w:rFonts w:hint="eastAsia" w:asciiTheme="majorEastAsia" w:hAnsiTheme="majorEastAsia" w:eastAsiaTheme="majorEastAsia" w:cstheme="majorEastAsia"/>
          <w:sz w:val="32"/>
          <w:szCs w:val="32"/>
        </w:rPr>
        <w:t>1.师资队伍数量与结构</w:t>
      </w:r>
      <w:bookmarkEnd w:id="7"/>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学院坚持引进与培养并重、专职与适量外聘并举的方针，师资队伍不断加强，结构进一步优化。</w:t>
      </w:r>
      <w:r>
        <w:rPr>
          <w:rFonts w:hint="eastAsia" w:ascii="仿宋_GB2312" w:hAnsi="仿宋_GB2312" w:eastAsia="仿宋_GB2312" w:cs="仿宋_GB2312"/>
          <w:sz w:val="32"/>
          <w:szCs w:val="32"/>
          <w:lang w:eastAsia="zh-CN"/>
        </w:rPr>
        <w:t>学校</w:t>
      </w:r>
      <w:r>
        <w:rPr>
          <w:rFonts w:hint="eastAsia" w:ascii="仿宋_GB2312" w:hAnsi="仿宋_GB2312" w:eastAsia="仿宋_GB2312" w:cs="仿宋_GB2312"/>
          <w:sz w:val="32"/>
          <w:szCs w:val="32"/>
        </w:rPr>
        <w:t>现有专任教师</w:t>
      </w:r>
      <w:r>
        <w:rPr>
          <w:rFonts w:hint="eastAsia" w:ascii="仿宋_GB2312" w:hAnsi="仿宋_GB2312" w:eastAsia="仿宋_GB2312" w:cs="仿宋_GB2312"/>
          <w:sz w:val="32"/>
          <w:szCs w:val="32"/>
          <w:lang w:val="en-US" w:eastAsia="zh-CN"/>
        </w:rPr>
        <w:t>702</w:t>
      </w:r>
      <w:r>
        <w:rPr>
          <w:rFonts w:hint="eastAsia" w:ascii="仿宋_GB2312" w:hAnsi="仿宋_GB2312" w:eastAsia="仿宋_GB2312" w:cs="仿宋_GB2312"/>
          <w:sz w:val="32"/>
          <w:szCs w:val="32"/>
        </w:rPr>
        <w:t>人，生师比17</w:t>
      </w:r>
      <w:r>
        <w:rPr>
          <w:rFonts w:hint="eastAsia" w:ascii="仿宋_GB2312" w:hAnsi="仿宋_GB2312" w:eastAsia="仿宋_GB2312" w:cs="仿宋_GB2312"/>
          <w:sz w:val="32"/>
          <w:szCs w:val="32"/>
          <w:lang w:val="en-US" w:eastAsia="zh-CN"/>
        </w:rPr>
        <w:t>.52</w:t>
      </w:r>
      <w:r>
        <w:rPr>
          <w:rFonts w:hint="eastAsia" w:ascii="仿宋_GB2312" w:hAnsi="仿宋_GB2312" w:eastAsia="仿宋_GB2312" w:cs="仿宋_GB2312"/>
          <w:sz w:val="32"/>
          <w:szCs w:val="32"/>
        </w:rPr>
        <w:t>:1。</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专任教师中具有研究生学历的教师563人，占专任教师的80.19%；具有副高级专业技术职务以上的教师284人，占专任教师的40.46 %，其中具有正高级专业技术职务的专任教师85人。省级教学名师</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名，省级教坛新秀3名。各门公共必修课程和专业基础必修课程均有2名以上的具有副高级专业技术职务以上的专任教师；各门专业必修课均配备有1名以上的具有副高级专业技术职务以上的专任教师；每个专业均拥有1名以上具有正高级专业技术职务的专任教师。</w:t>
      </w:r>
    </w:p>
    <w:p>
      <w:pPr>
        <w:pStyle w:val="4"/>
        <w:rPr>
          <w:rFonts w:hint="eastAsia" w:asciiTheme="majorEastAsia" w:hAnsiTheme="majorEastAsia" w:eastAsiaTheme="majorEastAsia" w:cstheme="majorEastAsia"/>
          <w:sz w:val="32"/>
          <w:szCs w:val="32"/>
        </w:rPr>
      </w:pPr>
      <w:bookmarkStart w:id="8" w:name="_Toc469401096"/>
      <w:r>
        <w:rPr>
          <w:rFonts w:hint="eastAsia" w:asciiTheme="majorEastAsia" w:hAnsiTheme="majorEastAsia" w:eastAsiaTheme="majorEastAsia" w:cstheme="majorEastAsia"/>
          <w:sz w:val="32"/>
          <w:szCs w:val="32"/>
        </w:rPr>
        <w:t>2.师资队伍建设举措</w:t>
      </w:r>
      <w:bookmarkEnd w:id="8"/>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1）树立科学的人才观。一方面，根据学院“地方性、应用型、高水平”的办学定位和发展规划，研究确定引进与培养的师资总量和应用型师资队伍评价标准。另一方面，根据学院“以应用型为本色、以工为主、以水利为特色”的学科专业定位和“专业建设为龙头”的导向，确定引进与培养的师资专业结构、职称结构与学历结构，努力形成</w:t>
      </w:r>
      <w:r>
        <w:rPr>
          <w:rFonts w:hint="eastAsia" w:ascii="仿宋_GB2312" w:hAnsi="仿宋_GB2312" w:eastAsia="仿宋_GB2312" w:cs="仿宋_GB2312"/>
          <w:sz w:val="32"/>
          <w:szCs w:val="32"/>
          <w:lang w:eastAsia="zh-CN"/>
        </w:rPr>
        <w:t>良好的</w:t>
      </w:r>
      <w:r>
        <w:rPr>
          <w:rFonts w:hint="eastAsia" w:ascii="仿宋_GB2312" w:hAnsi="仿宋_GB2312" w:eastAsia="仿宋_GB2312" w:cs="仿宋_GB2312"/>
          <w:sz w:val="32"/>
          <w:szCs w:val="32"/>
        </w:rPr>
        <w:t>教学科研团队。</w:t>
      </w:r>
    </w:p>
    <w:p>
      <w:pPr>
        <w:keepNext w:val="0"/>
        <w:keepLines w:val="0"/>
        <w:pageBreakBefore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2）实施“百人工程”。为实施人才强校战略，稳定人才、吸引人才、使用与培养人才，学院自2012年开始实施“百人工程”，计划到2020年，根据学院发展的需要，培养和选拔100名不同层次的人才。共分三个层次：第一层次为在全国范围内具有一定影响的学术带头人；第二层次为在省内具有较高水平，保持学科优势的学术带头人；第三层次为在校内成绩显著、起骨干作用的学术带头人后备人选。</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480" w:firstLineChars="15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3）培养“双能型”教师队伍。学院出台《河海大学文天学院“双能型”教师队伍建设与管理办法》,并通过“走出去、引进来”等一系列措施，逐步建立了一支教育教学能力强，又具有科技创新和开展产学研合作能力的“双能型”教师队伍。201</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年,学院加大校企合作力度，与企业方联合师资培养，选拔年轻教师参加企业生产实践，提高工程能力。“双能型”教师</w:t>
      </w:r>
      <w:r>
        <w:rPr>
          <w:rFonts w:hint="eastAsia" w:ascii="仿宋_GB2312" w:hAnsi="仿宋_GB2312" w:eastAsia="仿宋_GB2312" w:cs="仿宋_GB2312"/>
          <w:sz w:val="32"/>
          <w:szCs w:val="32"/>
          <w:lang w:val="en-US" w:eastAsia="zh-CN"/>
        </w:rPr>
        <w:t>293人，占专任教师41.7%。</w:t>
      </w:r>
    </w:p>
    <w:p>
      <w:pPr>
        <w:pStyle w:val="3"/>
        <w:numPr>
          <w:ilvl w:val="0"/>
          <w:numId w:val="1"/>
        </w:numPr>
        <w:rPr>
          <w:rFonts w:hint="eastAsia" w:asciiTheme="majorEastAsia" w:hAnsiTheme="majorEastAsia" w:eastAsiaTheme="majorEastAsia" w:cstheme="majorEastAsia"/>
          <w:sz w:val="32"/>
          <w:szCs w:val="32"/>
        </w:rPr>
      </w:pPr>
      <w:bookmarkStart w:id="9" w:name="_Toc469401097"/>
      <w:r>
        <w:rPr>
          <w:rFonts w:hint="eastAsia" w:asciiTheme="majorEastAsia" w:hAnsiTheme="majorEastAsia" w:eastAsiaTheme="majorEastAsia" w:cstheme="majorEastAsia"/>
          <w:sz w:val="32"/>
          <w:szCs w:val="32"/>
        </w:rPr>
        <w:t>教学条件与利用情况</w:t>
      </w:r>
      <w:bookmarkEnd w:id="9"/>
    </w:p>
    <w:p>
      <w:pPr>
        <w:pStyle w:val="4"/>
        <w:numPr>
          <w:ilvl w:val="0"/>
          <w:numId w:val="2"/>
        </w:numPr>
        <w:rPr>
          <w:rFonts w:hint="eastAsia" w:asciiTheme="majorEastAsia" w:hAnsiTheme="majorEastAsia" w:eastAsiaTheme="majorEastAsia" w:cstheme="majorEastAsia"/>
          <w:sz w:val="32"/>
          <w:szCs w:val="32"/>
        </w:rPr>
      </w:pPr>
      <w:bookmarkStart w:id="10" w:name="_Toc469401098"/>
      <w:r>
        <w:rPr>
          <w:rFonts w:hint="eastAsia" w:asciiTheme="majorEastAsia" w:hAnsiTheme="majorEastAsia" w:eastAsiaTheme="majorEastAsia" w:cstheme="majorEastAsia"/>
          <w:sz w:val="32"/>
          <w:szCs w:val="32"/>
        </w:rPr>
        <w:t>教学经费投入</w:t>
      </w:r>
      <w:bookmarkEnd w:id="10"/>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sz w:val="32"/>
          <w:szCs w:val="32"/>
        </w:rPr>
      </w:pPr>
      <w:r>
        <w:rPr>
          <w:rFonts w:hint="eastAsia" w:ascii="仿宋_GB2312" w:hAnsi="仿宋_GB2312" w:eastAsia="仿宋_GB2312" w:cs="仿宋_GB2312"/>
          <w:sz w:val="32"/>
          <w:szCs w:val="32"/>
        </w:rPr>
        <w:t>学院坚持教学投入的优先地位，确保四项经费足额到位，并保持逐年稳定增长；积极采取措施，严格经费管理，确保资金投入效益。</w:t>
      </w:r>
      <w:r>
        <w:rPr>
          <w:rFonts w:hint="eastAsia" w:ascii="仿宋_GB2312" w:hAnsi="仿宋_GB2312" w:eastAsia="仿宋_GB2312" w:cs="仿宋_GB2312"/>
          <w:color w:val="auto"/>
          <w:sz w:val="32"/>
          <w:szCs w:val="32"/>
        </w:rPr>
        <w:t>201</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教学经费支出总计</w:t>
      </w:r>
      <w:r>
        <w:rPr>
          <w:rFonts w:hint="eastAsia" w:ascii="仿宋_GB2312" w:hAnsi="仿宋_GB2312" w:eastAsia="仿宋_GB2312" w:cs="仿宋_GB2312"/>
          <w:color w:val="auto"/>
          <w:sz w:val="32"/>
          <w:szCs w:val="32"/>
          <w:lang w:val="en-US" w:eastAsia="zh-CN"/>
        </w:rPr>
        <w:t>11934.18万元，其中教学日常运行支出5464.42万元，教学改革支出97.45万元，专业建设支出570.23万元，实践教学支出933.37万元，实验经费支出27.64万元，实习经费支出563.25万元。学院教学经费投入较好地满足了应用型人才培养的需要。</w:t>
      </w:r>
    </w:p>
    <w:p>
      <w:pPr>
        <w:pStyle w:val="4"/>
        <w:numPr>
          <w:ilvl w:val="0"/>
          <w:numId w:val="2"/>
        </w:numPr>
        <w:rPr>
          <w:rFonts w:hint="eastAsia" w:asciiTheme="majorEastAsia" w:hAnsiTheme="majorEastAsia" w:eastAsiaTheme="majorEastAsia" w:cstheme="majorEastAsia"/>
          <w:sz w:val="32"/>
          <w:szCs w:val="32"/>
        </w:rPr>
      </w:pPr>
      <w:bookmarkStart w:id="11" w:name="_Toc469401099"/>
      <w:r>
        <w:rPr>
          <w:rFonts w:hint="eastAsia" w:asciiTheme="majorEastAsia" w:hAnsiTheme="majorEastAsia" w:eastAsiaTheme="majorEastAsia" w:cstheme="majorEastAsia"/>
          <w:sz w:val="32"/>
          <w:szCs w:val="32"/>
        </w:rPr>
        <w:t>教学基础设施</w:t>
      </w:r>
      <w:bookmarkEnd w:id="11"/>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heme="majorEastAsia" w:hAnsiTheme="majorEastAsia" w:eastAsiaTheme="majorEastAsia" w:cstheme="majorEastAsia"/>
          <w:color w:val="auto"/>
          <w:sz w:val="32"/>
          <w:szCs w:val="32"/>
        </w:rPr>
      </w:pPr>
      <w:r>
        <w:rPr>
          <w:rFonts w:hint="eastAsia" w:ascii="仿宋_GB2312" w:hAnsi="仿宋_GB2312" w:eastAsia="仿宋_GB2312" w:cs="仿宋_GB2312"/>
          <w:color w:val="auto"/>
          <w:sz w:val="32"/>
          <w:szCs w:val="32"/>
        </w:rPr>
        <w:t>学院现有霍里山和郑蒲港两个校区，占地总面积</w:t>
      </w:r>
      <w:r>
        <w:rPr>
          <w:rFonts w:hint="eastAsia" w:ascii="仿宋_GB2312" w:hAnsi="仿宋_GB2312" w:eastAsia="仿宋_GB2312" w:cs="仿宋_GB2312"/>
          <w:color w:val="auto"/>
          <w:sz w:val="32"/>
          <w:szCs w:val="32"/>
          <w:lang w:val="en-US" w:eastAsia="zh-CN"/>
        </w:rPr>
        <w:t>901991平方米</w:t>
      </w:r>
      <w:r>
        <w:rPr>
          <w:rFonts w:hint="eastAsia" w:ascii="仿宋_GB2312" w:hAnsi="仿宋_GB2312" w:eastAsia="仿宋_GB2312" w:cs="仿宋_GB2312"/>
          <w:color w:val="auto"/>
          <w:sz w:val="32"/>
          <w:szCs w:val="32"/>
        </w:rPr>
        <w:t>，生均校园占地面积为73.32平方米。校舍建筑总面积405695平方米，生均32.98平方米。教学科研行政用房总面积270455平方米，生均21.98平方米。教学科研仪器</w:t>
      </w:r>
      <w:r>
        <w:rPr>
          <w:rFonts w:hint="eastAsia" w:asciiTheme="majorEastAsia" w:hAnsiTheme="majorEastAsia" w:eastAsiaTheme="majorEastAsia" w:cstheme="majorEastAsia"/>
          <w:color w:val="auto"/>
          <w:sz w:val="32"/>
          <w:szCs w:val="32"/>
        </w:rPr>
        <w:t>设备总值7092.8万元，生均5766元。</w:t>
      </w:r>
    </w:p>
    <w:p>
      <w:pPr>
        <w:pStyle w:val="4"/>
        <w:numPr>
          <w:ilvl w:val="0"/>
          <w:numId w:val="2"/>
        </w:numPr>
        <w:rPr>
          <w:rFonts w:hint="eastAsia" w:asciiTheme="majorEastAsia" w:hAnsiTheme="majorEastAsia" w:eastAsiaTheme="majorEastAsia" w:cstheme="majorEastAsia"/>
          <w:sz w:val="32"/>
          <w:szCs w:val="32"/>
        </w:rPr>
      </w:pPr>
      <w:bookmarkStart w:id="12" w:name="_Toc469401100"/>
      <w:r>
        <w:rPr>
          <w:rFonts w:hint="eastAsia" w:asciiTheme="majorEastAsia" w:hAnsiTheme="majorEastAsia" w:eastAsiaTheme="majorEastAsia" w:cstheme="majorEastAsia"/>
          <w:sz w:val="32"/>
          <w:szCs w:val="32"/>
        </w:rPr>
        <w:t>图书及应用</w:t>
      </w:r>
      <w:bookmarkEnd w:id="12"/>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color w:val="auto"/>
          <w:sz w:val="30"/>
          <w:szCs w:val="30"/>
        </w:rPr>
      </w:pPr>
      <w:r>
        <w:rPr>
          <w:rFonts w:hint="eastAsia" w:ascii="仿宋_GB2312" w:hAnsi="仿宋_GB2312" w:eastAsia="仿宋_GB2312" w:cs="仿宋_GB2312"/>
          <w:color w:val="auto"/>
          <w:sz w:val="32"/>
          <w:szCs w:val="32"/>
        </w:rPr>
        <w:t>图书馆建筑面积38</w:t>
      </w:r>
      <w:r>
        <w:rPr>
          <w:rFonts w:hint="eastAsia" w:ascii="仿宋_GB2312" w:hAnsi="仿宋_GB2312" w:eastAsia="仿宋_GB2312" w:cs="仿宋_GB2312"/>
          <w:color w:val="auto"/>
          <w:sz w:val="32"/>
          <w:szCs w:val="32"/>
          <w:lang w:val="en-US" w:eastAsia="zh-CN"/>
        </w:rPr>
        <w:t>330</w:t>
      </w:r>
      <w:r>
        <w:rPr>
          <w:rFonts w:hint="eastAsia" w:ascii="仿宋_GB2312" w:hAnsi="仿宋_GB2312" w:eastAsia="仿宋_GB2312" w:cs="仿宋_GB2312"/>
          <w:color w:val="auto"/>
          <w:sz w:val="32"/>
          <w:szCs w:val="32"/>
        </w:rPr>
        <w:t>平方米，</w:t>
      </w:r>
      <w:r>
        <w:rPr>
          <w:rFonts w:hint="eastAsia" w:ascii="仿宋_GB2312" w:hAnsi="仿宋_GB2312" w:eastAsia="仿宋_GB2312" w:cs="仿宋_GB2312"/>
          <w:color w:val="auto"/>
          <w:sz w:val="32"/>
          <w:szCs w:val="32"/>
          <w:lang w:eastAsia="zh-CN"/>
        </w:rPr>
        <w:t>生均</w:t>
      </w:r>
      <w:r>
        <w:rPr>
          <w:rFonts w:hint="eastAsia" w:ascii="仿宋_GB2312" w:hAnsi="仿宋_GB2312" w:eastAsia="仿宋_GB2312" w:cs="仿宋_GB2312"/>
          <w:color w:val="auto"/>
          <w:sz w:val="32"/>
          <w:szCs w:val="32"/>
          <w:lang w:val="en-US" w:eastAsia="zh-CN"/>
        </w:rPr>
        <w:t>3.12平方米。</w:t>
      </w:r>
      <w:r>
        <w:rPr>
          <w:rFonts w:hint="eastAsia" w:ascii="仿宋_GB2312" w:hAnsi="仿宋_GB2312" w:eastAsia="仿宋_GB2312" w:cs="仿宋_GB2312"/>
          <w:color w:val="auto"/>
          <w:sz w:val="32"/>
          <w:szCs w:val="32"/>
        </w:rPr>
        <w:t>纸质图书9</w:t>
      </w:r>
      <w:r>
        <w:rPr>
          <w:rFonts w:hint="eastAsia" w:ascii="仿宋_GB2312" w:hAnsi="仿宋_GB2312" w:eastAsia="仿宋_GB2312" w:cs="仿宋_GB2312"/>
          <w:color w:val="auto"/>
          <w:sz w:val="32"/>
          <w:szCs w:val="32"/>
          <w:lang w:val="en-US" w:eastAsia="zh-CN"/>
        </w:rPr>
        <w:t>9.3</w:t>
      </w:r>
      <w:r>
        <w:rPr>
          <w:rFonts w:hint="eastAsia" w:ascii="仿宋_GB2312" w:hAnsi="仿宋_GB2312" w:eastAsia="仿宋_GB2312" w:cs="仿宋_GB2312"/>
          <w:color w:val="auto"/>
          <w:sz w:val="32"/>
          <w:szCs w:val="32"/>
        </w:rPr>
        <w:t>万册，生均80.</w:t>
      </w: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rPr>
        <w:t>册，纸质期刊7</w:t>
      </w:r>
      <w:r>
        <w:rPr>
          <w:rFonts w:hint="eastAsia" w:ascii="仿宋_GB2312" w:hAnsi="仿宋_GB2312" w:eastAsia="仿宋_GB2312" w:cs="仿宋_GB2312"/>
          <w:color w:val="auto"/>
          <w:sz w:val="32"/>
          <w:szCs w:val="32"/>
          <w:lang w:val="en-US" w:eastAsia="zh-CN"/>
        </w:rPr>
        <w:t>36</w:t>
      </w:r>
      <w:r>
        <w:rPr>
          <w:rFonts w:hint="eastAsia" w:ascii="仿宋_GB2312" w:hAnsi="仿宋_GB2312" w:eastAsia="仿宋_GB2312" w:cs="仿宋_GB2312"/>
          <w:color w:val="auto"/>
          <w:sz w:val="32"/>
          <w:szCs w:val="32"/>
        </w:rPr>
        <w:t>种；建有现代电子图书系统和计算机网络服务系统，有中国知网期刊、中国知网专刊、书生之家电子图书、安徽省高校图书馆万方等期刊数据库、专利数据库数字资源，电子期刊</w:t>
      </w:r>
      <w:r>
        <w:rPr>
          <w:rFonts w:hint="eastAsia" w:ascii="仿宋_GB2312" w:hAnsi="仿宋_GB2312" w:eastAsia="仿宋_GB2312" w:cs="仿宋_GB2312"/>
          <w:color w:val="auto"/>
          <w:sz w:val="32"/>
          <w:szCs w:val="32"/>
          <w:lang w:val="en-US" w:eastAsia="zh-CN"/>
        </w:rPr>
        <w:t>61.8万</w:t>
      </w:r>
      <w:r>
        <w:rPr>
          <w:rFonts w:hint="eastAsia" w:ascii="仿宋_GB2312" w:hAnsi="仿宋_GB2312" w:eastAsia="仿宋_GB2312" w:cs="仿宋_GB2312"/>
          <w:color w:val="auto"/>
          <w:sz w:val="32"/>
          <w:szCs w:val="32"/>
        </w:rPr>
        <w:t>种。</w:t>
      </w:r>
    </w:p>
    <w:p>
      <w:pPr>
        <w:pStyle w:val="4"/>
        <w:numPr>
          <w:ilvl w:val="0"/>
          <w:numId w:val="2"/>
        </w:numPr>
        <w:rPr>
          <w:rFonts w:hint="eastAsia" w:asciiTheme="majorEastAsia" w:hAnsiTheme="majorEastAsia" w:eastAsiaTheme="majorEastAsia" w:cstheme="majorEastAsia"/>
          <w:sz w:val="32"/>
          <w:szCs w:val="32"/>
        </w:rPr>
      </w:pPr>
      <w:bookmarkStart w:id="13" w:name="_Toc469401101"/>
      <w:r>
        <w:rPr>
          <w:rFonts w:hint="eastAsia" w:asciiTheme="majorEastAsia" w:hAnsiTheme="majorEastAsia" w:eastAsiaTheme="majorEastAsia" w:cstheme="majorEastAsia"/>
          <w:sz w:val="32"/>
          <w:szCs w:val="32"/>
        </w:rPr>
        <w:t>信息化校园建设</w:t>
      </w:r>
      <w:bookmarkEnd w:id="13"/>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2"/>
          <w:szCs w:val="32"/>
          <w:lang w:val="en-US" w:eastAsia="zh-CN"/>
        </w:rPr>
        <w:t>学院建设了适应高速网络技术及应用需求的主干网，构建了网络教学、办公自动化、图书资源、电子支付等多个数字化平台,满足了学院的教学科研与行政工作的需求。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color w:val="auto"/>
          <w:sz w:val="30"/>
          <w:szCs w:val="30"/>
        </w:rPr>
        <w:sectPr>
          <w:footerReference r:id="rId5" w:type="default"/>
          <w:pgSz w:w="11906" w:h="16838"/>
          <w:pgMar w:top="1440" w:right="1800" w:bottom="1440" w:left="1800" w:header="851" w:footer="992" w:gutter="0"/>
          <w:pgNumType w:start="1"/>
          <w:cols w:space="425" w:num="1"/>
          <w:docGrid w:type="lines" w:linePitch="312" w:charSpace="0"/>
        </w:sectPr>
      </w:pPr>
    </w:p>
    <w:p>
      <w:pPr>
        <w:pStyle w:val="2"/>
        <w:rPr>
          <w:sz w:val="36"/>
          <w:szCs w:val="36"/>
        </w:rPr>
      </w:pPr>
      <w:bookmarkStart w:id="14" w:name="_Toc469401102"/>
      <w:r>
        <w:rPr>
          <w:rFonts w:hint="eastAsia"/>
          <w:sz w:val="36"/>
          <w:szCs w:val="36"/>
        </w:rPr>
        <w:t>第三部分 教学建设与改革</w:t>
      </w:r>
      <w:bookmarkEnd w:id="14"/>
    </w:p>
    <w:p>
      <w:pPr>
        <w:pStyle w:val="3"/>
        <w:rPr>
          <w:sz w:val="36"/>
          <w:szCs w:val="36"/>
        </w:rPr>
      </w:pPr>
      <w:bookmarkStart w:id="15" w:name="_Toc469401103"/>
      <w:r>
        <w:rPr>
          <w:rFonts w:hint="eastAsia"/>
          <w:sz w:val="32"/>
          <w:szCs w:val="32"/>
        </w:rPr>
        <w:t>一、优化专业结构、强化重点专业建设</w:t>
      </w:r>
      <w:bookmarkEnd w:id="15"/>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6" w:firstLineChars="202"/>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学院紧紧</w:t>
      </w:r>
      <w:r>
        <w:rPr>
          <w:rFonts w:hint="eastAsia" w:ascii="仿宋_GB2312" w:hAnsi="仿宋_GB2312" w:eastAsia="仿宋_GB2312" w:cs="仿宋_GB2312"/>
          <w:sz w:val="32"/>
          <w:szCs w:val="32"/>
        </w:rPr>
        <w:t>围绕创新驱动发展、中国制造2025、“互联网+”等重大国家战略，结合促进中部地区崛起、皖江城市带承接产业转移示范区、长江经济带等国家、安徽省发展战略和地方经济、社会、文化与科技发展走向，结合我院已有的学科专业办学基础，优化调整学科专业结构，努力形成与地方经济社会发展需求相适应、结构优化的学科专业体系，形成优势特色专业集群。201</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年，学院新</w:t>
      </w:r>
      <w:r>
        <w:rPr>
          <w:rFonts w:hint="eastAsia" w:ascii="仿宋_GB2312" w:hAnsi="仿宋_GB2312" w:eastAsia="仿宋_GB2312" w:cs="仿宋_GB2312"/>
          <w:sz w:val="32"/>
          <w:szCs w:val="32"/>
          <w:lang w:eastAsia="zh-CN"/>
        </w:rPr>
        <w:t>申报</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个本科专业，为</w:t>
      </w:r>
      <w:r>
        <w:rPr>
          <w:rFonts w:hint="eastAsia" w:ascii="仿宋_GB2312" w:hAnsi="仿宋_GB2312" w:eastAsia="仿宋_GB2312" w:cs="仿宋_GB2312"/>
          <w:sz w:val="32"/>
          <w:szCs w:val="32"/>
          <w:lang w:eastAsia="zh-CN"/>
        </w:rPr>
        <w:t>汽车服务工程</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该专业不仅是安徽省经济社会发展所需的紧缺专业，而且与学院已有的机械工程、车辆工程形成专业集群，集群效应逐步发挥</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以校级、省级特色专业、卓越</w:t>
      </w:r>
      <w:r>
        <w:rPr>
          <w:rFonts w:hint="eastAsia" w:ascii="仿宋_GB2312" w:hAnsi="仿宋_GB2312" w:eastAsia="仿宋_GB2312" w:cs="仿宋_GB2312"/>
          <w:sz w:val="32"/>
          <w:szCs w:val="32"/>
          <w:lang w:eastAsia="zh-CN"/>
        </w:rPr>
        <w:t>人才</w:t>
      </w:r>
      <w:r>
        <w:rPr>
          <w:rFonts w:hint="eastAsia" w:ascii="仿宋_GB2312" w:hAnsi="仿宋_GB2312" w:eastAsia="仿宋_GB2312" w:cs="仿宋_GB2312"/>
          <w:sz w:val="32"/>
          <w:szCs w:val="32"/>
        </w:rPr>
        <w:t>教育培养计划、专业综合改革、振兴计划新专业建设等建设项目为抓手，积极提升专业建设水平，形成专业特色，发挥专业示范作用。</w:t>
      </w:r>
      <w:r>
        <w:rPr>
          <w:rFonts w:hint="eastAsia" w:ascii="仿宋_GB2312" w:hAnsi="仿宋_GB2312" w:eastAsia="仿宋_GB2312" w:cs="仿宋_GB2312"/>
          <w:sz w:val="32"/>
          <w:szCs w:val="32"/>
          <w:lang w:eastAsia="zh-CN"/>
        </w:rPr>
        <w:t>截止</w:t>
      </w:r>
      <w:r>
        <w:rPr>
          <w:rFonts w:hint="eastAsia" w:ascii="仿宋_GB2312" w:hAnsi="仿宋_GB2312" w:eastAsia="仿宋_GB2312" w:cs="仿宋_GB2312"/>
          <w:sz w:val="32"/>
          <w:szCs w:val="32"/>
          <w:lang w:val="en-US" w:eastAsia="zh-CN"/>
        </w:rPr>
        <w:t>2017年9月，</w:t>
      </w:r>
      <w:r>
        <w:rPr>
          <w:rFonts w:hint="eastAsia" w:ascii="仿宋_GB2312" w:hAnsi="仿宋_GB2312" w:eastAsia="仿宋_GB2312" w:cs="仿宋_GB2312"/>
          <w:sz w:val="32"/>
          <w:szCs w:val="32"/>
          <w:lang w:eastAsia="zh-CN"/>
        </w:rPr>
        <w:t>学院</w:t>
      </w:r>
      <w:r>
        <w:rPr>
          <w:rFonts w:hint="eastAsia" w:ascii="仿宋_GB2312" w:hAnsi="仿宋_GB2312" w:eastAsia="仿宋_GB2312" w:cs="仿宋_GB2312"/>
          <w:sz w:val="32"/>
          <w:szCs w:val="32"/>
          <w:lang w:val="en-US" w:eastAsia="zh-CN"/>
        </w:rPr>
        <w:t>共有省级重点建设专业15项，其中特色专业4项，专业综合改革试点2项，卓越人才教育培养计划5项，振兴计划新专业建设4项。</w:t>
      </w:r>
    </w:p>
    <w:p>
      <w:pPr>
        <w:ind w:firstLine="424" w:firstLineChars="202"/>
      </w:pPr>
    </w:p>
    <w:p>
      <w:pPr>
        <w:pStyle w:val="3"/>
        <w:rPr>
          <w:sz w:val="32"/>
          <w:szCs w:val="32"/>
        </w:rPr>
      </w:pPr>
      <w:bookmarkStart w:id="16" w:name="_Toc469401104"/>
      <w:r>
        <w:rPr>
          <w:rFonts w:hint="eastAsia"/>
          <w:sz w:val="32"/>
          <w:szCs w:val="32"/>
        </w:rPr>
        <w:t>二、构建“三位一体”人才培养模式</w:t>
      </w:r>
      <w:bookmarkEnd w:id="16"/>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1"/>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深化大学生社会责任感、创新创业教育和实践教育改革，积极构建“三位一体”人才培养模式，提高应用型人才培养质量。</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1"/>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学院印发了《河海大学文天学院大学生社会责任教育培养方案和学分认定办法</w:t>
      </w:r>
      <w:r>
        <w:rPr>
          <w:rFonts w:hint="eastAsia" w:ascii="仿宋_GB2312" w:hAnsi="仿宋_GB2312" w:eastAsia="仿宋_GB2312" w:cs="仿宋_GB2312"/>
          <w:sz w:val="32"/>
          <w:szCs w:val="32"/>
          <w:lang w:eastAsia="zh-CN"/>
        </w:rPr>
        <w:t>（试行）</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社会责任教育包括社区服务、挂职锻炼、专业服务、义务劳动、文艺体育、慈善活动、志愿服务、公益活动等多种具体形式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学分单独设立，每学期不少于1学分</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1"/>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学院印发了《</w:t>
      </w:r>
      <w:r>
        <w:rPr>
          <w:rFonts w:hint="eastAsia" w:ascii="仿宋_GB2312" w:hAnsi="仿宋_GB2312" w:eastAsia="仿宋_GB2312" w:cs="仿宋_GB2312"/>
          <w:sz w:val="32"/>
          <w:szCs w:val="32"/>
          <w:lang w:eastAsia="zh-CN"/>
        </w:rPr>
        <w:t>河海大学文天学院关于深化创新创业教育改革的实施意见</w:t>
      </w:r>
      <w:r>
        <w:rPr>
          <w:rFonts w:hint="eastAsia" w:ascii="仿宋_GB2312" w:hAnsi="仿宋_GB2312" w:eastAsia="仿宋_GB2312" w:cs="仿宋_GB2312"/>
          <w:sz w:val="32"/>
          <w:szCs w:val="32"/>
          <w:lang w:val="en-US" w:eastAsia="zh-CN"/>
        </w:rPr>
        <w:t>》，将深化创新创业教育改革体现在2016级人才培养方案中：</w:t>
      </w:r>
      <w:r>
        <w:rPr>
          <w:rFonts w:hint="eastAsia" w:ascii="仿宋_GB2312" w:hAnsi="仿宋_GB2312" w:eastAsia="仿宋_GB2312" w:cs="仿宋_GB2312"/>
          <w:sz w:val="32"/>
          <w:szCs w:val="32"/>
        </w:rPr>
        <w:t>结合本科专业教学质量国家标准、行业企业人才标准，各专业在人才培养目标中明确创新创业教育目标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由教务</w:t>
      </w:r>
      <w:r>
        <w:rPr>
          <w:rFonts w:hint="eastAsia" w:ascii="仿宋_GB2312" w:hAnsi="仿宋_GB2312" w:eastAsia="仿宋_GB2312" w:cs="仿宋_GB2312"/>
          <w:sz w:val="32"/>
          <w:szCs w:val="32"/>
          <w:lang w:eastAsia="zh-CN"/>
        </w:rPr>
        <w:t>部</w:t>
      </w:r>
      <w:r>
        <w:rPr>
          <w:rFonts w:hint="eastAsia" w:ascii="仿宋_GB2312" w:hAnsi="仿宋_GB2312" w:eastAsia="仿宋_GB2312" w:cs="仿宋_GB2312"/>
          <w:sz w:val="32"/>
          <w:szCs w:val="32"/>
        </w:rPr>
        <w:t>、双创中心统一规划制定双创通识课程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各专业应在培养方案中规划出创新创业专业课程与创新创业综合实践环节，组织制定方案并实施</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1"/>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学院印发了《河海大学文天学院大学生“第二课堂”学分实施办法（试行）》，</w:t>
      </w:r>
      <w:r>
        <w:rPr>
          <w:rFonts w:hint="eastAsia" w:ascii="仿宋_GB2312" w:hAnsi="仿宋_GB2312" w:eastAsia="仿宋_GB2312" w:cs="仿宋_GB2312"/>
          <w:sz w:val="32"/>
          <w:szCs w:val="32"/>
        </w:rPr>
        <w:t>引导和鼓励学生积极参与校内外各类实践活动，进一步培养学生的创新意识和创新能力，增强学生实践能力和社会责任感，促进学生全面发展和综合素质提高</w:t>
      </w:r>
      <w:r>
        <w:rPr>
          <w:rFonts w:hint="eastAsia" w:ascii="仿宋_GB2312" w:hAnsi="仿宋_GB2312" w:eastAsia="仿宋_GB2312" w:cs="仿宋_GB2312"/>
          <w:sz w:val="32"/>
          <w:szCs w:val="32"/>
          <w:lang w:val="en-US" w:eastAsia="zh-CN"/>
        </w:rPr>
        <w:t>。</w:t>
      </w:r>
    </w:p>
    <w:p>
      <w:pPr>
        <w:pStyle w:val="3"/>
        <w:rPr>
          <w:sz w:val="32"/>
          <w:szCs w:val="32"/>
        </w:rPr>
      </w:pPr>
      <w:bookmarkStart w:id="17" w:name="_Toc469401105"/>
      <w:r>
        <w:rPr>
          <w:rFonts w:hint="eastAsia"/>
          <w:sz w:val="32"/>
          <w:szCs w:val="32"/>
        </w:rPr>
        <w:t>三、加强课程建设</w:t>
      </w:r>
      <w:bookmarkEnd w:id="17"/>
    </w:p>
    <w:p>
      <w:pPr>
        <w:pStyle w:val="4"/>
        <w:rPr>
          <w:rFonts w:hint="eastAsia" w:asciiTheme="majorEastAsia" w:hAnsiTheme="majorEastAsia" w:eastAsiaTheme="majorEastAsia" w:cstheme="majorEastAsia"/>
          <w:sz w:val="32"/>
          <w:szCs w:val="32"/>
        </w:rPr>
      </w:pPr>
      <w:bookmarkStart w:id="18" w:name="_Toc469401106"/>
      <w:r>
        <w:rPr>
          <w:rFonts w:hint="eastAsia" w:asciiTheme="majorEastAsia" w:hAnsiTheme="majorEastAsia" w:eastAsiaTheme="majorEastAsia" w:cstheme="majorEastAsia"/>
          <w:sz w:val="32"/>
          <w:szCs w:val="32"/>
        </w:rPr>
        <w:t>1.MOOC建设</w:t>
      </w:r>
      <w:bookmarkEnd w:id="18"/>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20" w:firstLineChars="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0"/>
          <w:szCs w:val="30"/>
        </w:rPr>
        <w:t xml:space="preserve"> </w:t>
      </w:r>
      <w:r>
        <w:rPr>
          <w:rFonts w:hint="eastAsia" w:ascii="仿宋_GB2312" w:hAnsi="仿宋_GB2312" w:eastAsia="仿宋_GB2312" w:cs="仿宋_GB2312"/>
          <w:sz w:val="32"/>
          <w:szCs w:val="32"/>
          <w:lang w:val="en-US" w:eastAsia="zh-CN"/>
        </w:rPr>
        <w:t>2016年，</w:t>
      </w:r>
      <w:r>
        <w:rPr>
          <w:rFonts w:hint="eastAsia" w:ascii="仿宋_GB2312" w:hAnsi="仿宋_GB2312" w:eastAsia="仿宋_GB2312" w:cs="仿宋_GB2312"/>
          <w:sz w:val="32"/>
          <w:szCs w:val="32"/>
        </w:rPr>
        <w:t>省级MOOC示范</w:t>
      </w:r>
      <w:r>
        <w:rPr>
          <w:rFonts w:hint="eastAsia" w:ascii="仿宋_GB2312" w:hAnsi="仿宋_GB2312" w:eastAsia="仿宋_GB2312" w:cs="仿宋_GB2312"/>
          <w:sz w:val="32"/>
          <w:szCs w:val="32"/>
          <w:lang w:eastAsia="zh-CN"/>
        </w:rPr>
        <w:t>课程</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《水电站》已成功通过验收，运行在安徽省开放课程平台上供全省学生修读；《信息技术应用》已成功应用翻转课堂教学和上机考试等方法改革，提高了学生的实际动手能力，较大幅度提高了计算机等级通过率。</w:t>
      </w:r>
      <w:r>
        <w:rPr>
          <w:rFonts w:hint="eastAsia" w:ascii="仿宋_GB2312" w:hAnsi="仿宋_GB2312" w:eastAsia="仿宋_GB2312" w:cs="仿宋_GB2312"/>
          <w:sz w:val="32"/>
          <w:szCs w:val="32"/>
        </w:rPr>
        <w:t>新申请了省级MOOC示范</w:t>
      </w:r>
      <w:r>
        <w:rPr>
          <w:rFonts w:hint="eastAsia" w:ascii="仿宋_GB2312" w:hAnsi="仿宋_GB2312" w:eastAsia="仿宋_GB2312" w:cs="仿宋_GB2312"/>
          <w:sz w:val="32"/>
          <w:szCs w:val="32"/>
          <w:lang w:eastAsia="zh-CN"/>
        </w:rPr>
        <w:t>课程</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《材料力学》，在线课程也在教学中逐步发挥作用。立项建设</w:t>
      </w:r>
      <w:r>
        <w:rPr>
          <w:rFonts w:hint="eastAsia" w:ascii="仿宋_GB2312" w:hAnsi="仿宋_GB2312" w:eastAsia="仿宋_GB2312" w:cs="仿宋_GB2312"/>
          <w:sz w:val="32"/>
          <w:szCs w:val="32"/>
          <w:lang w:val="en-US" w:eastAsia="zh-CN"/>
        </w:rPr>
        <w:t>5门</w:t>
      </w:r>
      <w:r>
        <w:rPr>
          <w:rFonts w:hint="eastAsia" w:ascii="仿宋_GB2312" w:hAnsi="仿宋_GB2312" w:eastAsia="仿宋_GB2312" w:cs="仿宋_GB2312"/>
          <w:sz w:val="32"/>
          <w:szCs w:val="32"/>
        </w:rPr>
        <w:t>校级MOOC示范</w:t>
      </w:r>
      <w:r>
        <w:rPr>
          <w:rFonts w:hint="eastAsia" w:ascii="仿宋_GB2312" w:hAnsi="仿宋_GB2312" w:eastAsia="仿宋_GB2312" w:cs="仿宋_GB2312"/>
          <w:sz w:val="32"/>
          <w:szCs w:val="32"/>
          <w:lang w:eastAsia="zh-CN"/>
        </w:rPr>
        <w:t>课程，分别为《</w:t>
      </w:r>
      <w:r>
        <w:rPr>
          <w:rFonts w:hint="eastAsia" w:ascii="仿宋_GB2312" w:hAnsi="仿宋_GB2312" w:eastAsia="仿宋_GB2312" w:cs="仿宋_GB2312"/>
          <w:sz w:val="32"/>
          <w:szCs w:val="32"/>
          <w:lang w:val="en-US" w:eastAsia="zh-CN"/>
        </w:rPr>
        <w:t>C语言程序设计</w:t>
      </w:r>
      <w:r>
        <w:rPr>
          <w:rFonts w:hint="eastAsia" w:ascii="仿宋_GB2312" w:hAnsi="仿宋_GB2312" w:eastAsia="仿宋_GB2312" w:cs="仿宋_GB2312"/>
          <w:sz w:val="32"/>
          <w:szCs w:val="32"/>
          <w:lang w:eastAsia="zh-CN"/>
        </w:rPr>
        <w:t>》、《汽车检测与诊断技术》、《概率论与数理统计》、《大学英语</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》、《财务管理》</w:t>
      </w:r>
      <w:r>
        <w:rPr>
          <w:rFonts w:hint="eastAsia" w:ascii="仿宋_GB2312" w:hAnsi="仿宋_GB2312" w:eastAsia="仿宋_GB2312" w:cs="仿宋_GB2312"/>
          <w:sz w:val="32"/>
          <w:szCs w:val="32"/>
        </w:rPr>
        <w:t>。学院依托MOOC</w:t>
      </w:r>
      <w:r>
        <w:rPr>
          <w:rFonts w:hint="eastAsia" w:ascii="仿宋_GB2312" w:hAnsi="仿宋_GB2312" w:eastAsia="仿宋_GB2312" w:cs="仿宋_GB2312"/>
          <w:sz w:val="32"/>
          <w:szCs w:val="32"/>
          <w:lang w:eastAsia="zh-CN"/>
        </w:rPr>
        <w:t>示范课程</w:t>
      </w:r>
      <w:r>
        <w:rPr>
          <w:rFonts w:hint="eastAsia" w:ascii="仿宋_GB2312" w:hAnsi="仿宋_GB2312" w:eastAsia="仿宋_GB2312" w:cs="仿宋_GB2312"/>
          <w:sz w:val="32"/>
          <w:szCs w:val="32"/>
        </w:rPr>
        <w:t>建设为契机，加快课程数字化资源建设，为教学方法和评价方式的转变打下良好基础。</w:t>
      </w:r>
    </w:p>
    <w:p>
      <w:pPr>
        <w:pStyle w:val="4"/>
        <w:rPr>
          <w:rFonts w:hint="eastAsia" w:asciiTheme="majorEastAsia" w:hAnsiTheme="majorEastAsia" w:eastAsiaTheme="majorEastAsia" w:cstheme="majorEastAsia"/>
          <w:sz w:val="32"/>
          <w:szCs w:val="32"/>
        </w:rPr>
      </w:pPr>
      <w:bookmarkStart w:id="19" w:name="_Toc469401107"/>
      <w:r>
        <w:rPr>
          <w:rFonts w:hint="eastAsia" w:asciiTheme="majorEastAsia" w:hAnsiTheme="majorEastAsia" w:eastAsiaTheme="majorEastAsia" w:cstheme="majorEastAsia"/>
          <w:sz w:val="32"/>
          <w:szCs w:val="32"/>
        </w:rPr>
        <w:t>2.应用型课程</w:t>
      </w:r>
      <w:bookmarkEnd w:id="19"/>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1"/>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学院印发《关于加强应用型课程建设的若干意见》，</w:t>
      </w:r>
      <w:r>
        <w:rPr>
          <w:rFonts w:hint="eastAsia" w:ascii="仿宋_GB2312" w:hAnsi="宋体" w:eastAsia="仿宋_GB2312"/>
          <w:sz w:val="32"/>
          <w:szCs w:val="32"/>
        </w:rPr>
        <w:t>明确了应用型课程建设的总体目标和主要任务。</w:t>
      </w:r>
      <w:r>
        <w:rPr>
          <w:rFonts w:hint="eastAsia" w:ascii="仿宋_GB2312" w:hAnsi="仿宋_GB2312" w:eastAsia="仿宋_GB2312" w:cs="仿宋_GB2312"/>
          <w:sz w:val="32"/>
          <w:szCs w:val="32"/>
        </w:rPr>
        <w:t>调整课程设置，重组教学内容，推进课程体系、教学内容的改革。按照培养定位和培养目标，理清专业相关行业的核心能力，对接职业岗位要求和职业发展需求，把课程目标定位在学生的综合应用能力和社会适应能力的培养上；突破传统的学科性教育的课程框架，构建面向应用、能力为重、理论和实践深度融合的课程体系和知识体系。改变传统以课堂讲授为主的方式，积极引入案例教学、项目驱动、问题导向、模拟仿真等生动活泼的教学方式，提高学生对课程的参与度。2016年学院共立项建设各类课程26门，结题11门，结题成果包括应用型课程的课程标准（教学大纲）、教案、课件、考核试卷、习题库、教学案例库等，以点带面，提高了课程整体水平。</w:t>
      </w:r>
    </w:p>
    <w:p>
      <w:pPr>
        <w:pStyle w:val="3"/>
        <w:rPr>
          <w:sz w:val="32"/>
          <w:szCs w:val="32"/>
        </w:rPr>
      </w:pPr>
      <w:bookmarkStart w:id="20" w:name="_Toc469401108"/>
      <w:r>
        <w:rPr>
          <w:rFonts w:hint="eastAsia"/>
          <w:sz w:val="32"/>
          <w:szCs w:val="32"/>
        </w:rPr>
        <w:t>四、</w:t>
      </w:r>
      <w:r>
        <w:rPr>
          <w:rFonts w:hint="eastAsia"/>
          <w:sz w:val="32"/>
          <w:szCs w:val="32"/>
          <w:lang w:eastAsia="zh-CN"/>
        </w:rPr>
        <w:t>深化</w:t>
      </w:r>
      <w:r>
        <w:rPr>
          <w:rFonts w:hint="eastAsia"/>
          <w:sz w:val="32"/>
          <w:szCs w:val="32"/>
        </w:rPr>
        <w:t>实践教学</w:t>
      </w:r>
      <w:bookmarkEnd w:id="20"/>
    </w:p>
    <w:p>
      <w:pPr>
        <w:pStyle w:val="4"/>
        <w:rPr>
          <w:rFonts w:hint="eastAsia" w:asciiTheme="majorEastAsia" w:hAnsiTheme="majorEastAsia" w:eastAsiaTheme="majorEastAsia" w:cstheme="majorEastAsia"/>
          <w:sz w:val="32"/>
          <w:szCs w:val="32"/>
        </w:rPr>
      </w:pPr>
      <w:bookmarkStart w:id="21" w:name="_Toc469401109"/>
      <w:r>
        <w:rPr>
          <w:rFonts w:hint="eastAsia" w:asciiTheme="majorEastAsia" w:hAnsiTheme="majorEastAsia" w:eastAsiaTheme="majorEastAsia" w:cstheme="majorEastAsia"/>
          <w:sz w:val="32"/>
          <w:szCs w:val="32"/>
        </w:rPr>
        <w:t>1.实验、实训、实习场所建设</w:t>
      </w:r>
      <w:bookmarkEnd w:id="21"/>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6" w:firstLineChars="202"/>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学院建有校外实习实训基地</w:t>
      </w:r>
      <w:r>
        <w:rPr>
          <w:rFonts w:hint="eastAsia" w:ascii="仿宋_GB2312" w:hAnsi="仿宋_GB2312" w:eastAsia="仿宋_GB2312" w:cs="仿宋_GB2312"/>
          <w:sz w:val="32"/>
          <w:szCs w:val="32"/>
          <w:lang w:val="en-US" w:eastAsia="zh-CN"/>
        </w:rPr>
        <w:t>104</w:t>
      </w:r>
      <w:r>
        <w:rPr>
          <w:rFonts w:hint="eastAsia" w:ascii="仿宋_GB2312" w:hAnsi="仿宋_GB2312" w:eastAsia="仿宋_GB2312" w:cs="仿宋_GB2312"/>
          <w:sz w:val="32"/>
          <w:szCs w:val="32"/>
        </w:rPr>
        <w:t>个，校内实验实训室</w:t>
      </w:r>
      <w:r>
        <w:rPr>
          <w:rFonts w:hint="eastAsia" w:ascii="仿宋_GB2312" w:hAnsi="仿宋_GB2312" w:eastAsia="仿宋_GB2312" w:cs="仿宋_GB2312"/>
          <w:sz w:val="32"/>
          <w:szCs w:val="32"/>
          <w:lang w:eastAsia="zh-CN"/>
        </w:rPr>
        <w:t>（中心）</w:t>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个，教学计划规定的实验实训课开出率达到100%。</w:t>
      </w:r>
      <w:r>
        <w:rPr>
          <w:rFonts w:hint="eastAsia" w:ascii="仿宋_GB2312" w:hAnsi="仿宋_GB2312" w:eastAsia="仿宋_GB2312" w:cs="仿宋_GB2312"/>
          <w:sz w:val="32"/>
          <w:szCs w:val="32"/>
          <w:lang w:eastAsia="zh-CN"/>
        </w:rPr>
        <w:t>校内</w:t>
      </w:r>
      <w:r>
        <w:rPr>
          <w:rFonts w:hint="eastAsia" w:ascii="仿宋_GB2312" w:hAnsi="仿宋_GB2312" w:eastAsia="仿宋_GB2312" w:cs="仿宋_GB2312"/>
          <w:sz w:val="32"/>
          <w:szCs w:val="32"/>
        </w:rPr>
        <w:t>实验</w:t>
      </w:r>
      <w:r>
        <w:rPr>
          <w:rFonts w:hint="eastAsia" w:ascii="仿宋_GB2312" w:hAnsi="仿宋_GB2312" w:eastAsia="仿宋_GB2312" w:cs="仿宋_GB2312"/>
          <w:sz w:val="32"/>
          <w:szCs w:val="32"/>
          <w:lang w:eastAsia="zh-CN"/>
        </w:rPr>
        <w:t>实训场地</w:t>
      </w:r>
      <w:r>
        <w:rPr>
          <w:rFonts w:hint="eastAsia" w:ascii="仿宋_GB2312" w:hAnsi="仿宋_GB2312" w:eastAsia="仿宋_GB2312" w:cs="仿宋_GB2312"/>
          <w:sz w:val="32"/>
          <w:szCs w:val="32"/>
        </w:rPr>
        <w:t>面积</w:t>
      </w:r>
      <w:r>
        <w:rPr>
          <w:rFonts w:hint="eastAsia" w:ascii="仿宋_GB2312" w:hAnsi="仿宋_GB2312" w:eastAsia="仿宋_GB2312" w:cs="仿宋_GB2312"/>
          <w:sz w:val="32"/>
          <w:szCs w:val="32"/>
          <w:lang w:val="en-US" w:eastAsia="zh-CN"/>
        </w:rPr>
        <w:t>102753</w:t>
      </w:r>
      <w:r>
        <w:rPr>
          <w:rFonts w:hint="eastAsia" w:ascii="仿宋_GB2312" w:hAnsi="仿宋_GB2312" w:eastAsia="仿宋_GB2312" w:cs="仿宋_GB2312"/>
          <w:sz w:val="32"/>
          <w:szCs w:val="32"/>
        </w:rPr>
        <w:t>平方米</w:t>
      </w:r>
      <w:r>
        <w:rPr>
          <w:rFonts w:hint="eastAsia" w:ascii="仿宋_GB2312" w:hAnsi="仿宋_GB2312" w:eastAsia="仿宋_GB2312" w:cs="仿宋_GB2312"/>
          <w:sz w:val="32"/>
          <w:szCs w:val="32"/>
          <w:lang w:eastAsia="zh-CN"/>
        </w:rPr>
        <w:t>，生均</w:t>
      </w:r>
      <w:r>
        <w:rPr>
          <w:rFonts w:hint="eastAsia" w:ascii="仿宋_GB2312" w:hAnsi="仿宋_GB2312" w:eastAsia="仿宋_GB2312" w:cs="仿宋_GB2312"/>
          <w:sz w:val="32"/>
          <w:szCs w:val="32"/>
          <w:lang w:val="en-US" w:eastAsia="zh-CN"/>
        </w:rPr>
        <w:t>8.49平方米</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年，校内使用的主要实习场所共12个，具体如表2所示，接收实习学生规模达2700人。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center"/>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表2  校内主要实习场所一览表</w:t>
      </w:r>
    </w:p>
    <w:tbl>
      <w:tblPr>
        <w:tblStyle w:val="16"/>
        <w:tblW w:w="8522"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321"/>
        <w:gridCol w:w="2671"/>
        <w:gridCol w:w="253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65" w:hRule="atLeast"/>
        </w:trPr>
        <w:tc>
          <w:tcPr>
            <w:tcW w:w="3321" w:type="dxa"/>
            <w:tcBorders>
              <w:right w:val="single" w:color="auto" w:sz="4" w:space="0"/>
            </w:tcBorders>
            <w:vAlign w:val="center"/>
          </w:tcPr>
          <w:p>
            <w:pPr>
              <w:jc w:val="center"/>
              <w:rPr>
                <w:rFonts w:ascii="仿宋_GB2312" w:hAnsi="宋体" w:eastAsia="仿宋_GB2312"/>
                <w:sz w:val="21"/>
                <w:szCs w:val="21"/>
              </w:rPr>
            </w:pPr>
            <w:r>
              <w:rPr>
                <w:rFonts w:hint="eastAsia" w:ascii="仿宋_GB2312" w:hAnsi="宋体" w:eastAsia="仿宋_GB2312"/>
                <w:sz w:val="21"/>
                <w:szCs w:val="21"/>
              </w:rPr>
              <w:t>校内主要实习场所</w:t>
            </w:r>
          </w:p>
          <w:p>
            <w:pPr>
              <w:jc w:val="center"/>
              <w:rPr>
                <w:rFonts w:ascii="仿宋_GB2312" w:hAnsi="宋体" w:eastAsia="仿宋_GB2312"/>
                <w:sz w:val="21"/>
                <w:szCs w:val="21"/>
              </w:rPr>
            </w:pPr>
            <w:r>
              <w:rPr>
                <w:rFonts w:hint="eastAsia" w:ascii="仿宋_GB2312" w:hAnsi="宋体" w:eastAsia="仿宋_GB2312"/>
                <w:sz w:val="21"/>
                <w:szCs w:val="21"/>
              </w:rPr>
              <w:t>（总计11个）名称</w:t>
            </w:r>
          </w:p>
        </w:tc>
        <w:tc>
          <w:tcPr>
            <w:tcW w:w="2671" w:type="dxa"/>
            <w:tcBorders>
              <w:left w:val="single" w:color="auto" w:sz="4" w:space="0"/>
              <w:right w:val="single" w:color="auto" w:sz="4" w:space="0"/>
            </w:tcBorders>
            <w:vAlign w:val="center"/>
          </w:tcPr>
          <w:p>
            <w:pPr>
              <w:jc w:val="center"/>
              <w:rPr>
                <w:rFonts w:ascii="仿宋_GB2312" w:hAnsi="宋体" w:eastAsia="仿宋_GB2312"/>
                <w:sz w:val="21"/>
                <w:szCs w:val="21"/>
              </w:rPr>
            </w:pPr>
            <w:r>
              <w:rPr>
                <w:rFonts w:hint="eastAsia" w:ascii="仿宋_GB2312" w:hAnsi="宋体" w:eastAsia="仿宋_GB2312"/>
                <w:sz w:val="21"/>
                <w:szCs w:val="21"/>
              </w:rPr>
              <w:t>主要实习专业</w:t>
            </w:r>
          </w:p>
        </w:tc>
        <w:tc>
          <w:tcPr>
            <w:tcW w:w="2530" w:type="dxa"/>
            <w:tcBorders>
              <w:left w:val="single" w:color="auto" w:sz="4" w:space="0"/>
            </w:tcBorders>
            <w:vAlign w:val="center"/>
          </w:tcPr>
          <w:p>
            <w:pPr>
              <w:jc w:val="center"/>
              <w:rPr>
                <w:rFonts w:ascii="仿宋_GB2312" w:hAnsi="宋体" w:eastAsia="仿宋_GB2312"/>
                <w:sz w:val="21"/>
                <w:szCs w:val="21"/>
              </w:rPr>
            </w:pPr>
            <w:r>
              <w:rPr>
                <w:rFonts w:hint="eastAsia" w:ascii="仿宋_GB2312" w:hAnsi="宋体" w:eastAsia="仿宋_GB2312"/>
                <w:sz w:val="21"/>
                <w:szCs w:val="21"/>
              </w:rPr>
              <w:t>201</w:t>
            </w:r>
            <w:r>
              <w:rPr>
                <w:rFonts w:hint="eastAsia" w:ascii="仿宋_GB2312" w:hAnsi="宋体" w:eastAsia="仿宋_GB2312"/>
                <w:sz w:val="21"/>
                <w:szCs w:val="21"/>
                <w:lang w:val="en-US" w:eastAsia="zh-CN"/>
              </w:rPr>
              <w:t>6</w:t>
            </w:r>
            <w:r>
              <w:rPr>
                <w:rFonts w:hint="eastAsia" w:ascii="仿宋_GB2312" w:hAnsi="宋体" w:eastAsia="仿宋_GB2312"/>
                <w:sz w:val="21"/>
                <w:szCs w:val="21"/>
              </w:rPr>
              <w:t>年度接收实习学生规模（人/月）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65" w:hRule="atLeast"/>
        </w:trPr>
        <w:tc>
          <w:tcPr>
            <w:tcW w:w="3321" w:type="dxa"/>
            <w:tcBorders>
              <w:right w:val="single" w:color="auto" w:sz="4" w:space="0"/>
            </w:tcBorders>
            <w:vAlign w:val="center"/>
          </w:tcPr>
          <w:p>
            <w:pPr>
              <w:jc w:val="center"/>
              <w:rPr>
                <w:rFonts w:ascii="仿宋_GB2312" w:hAnsi="宋体" w:eastAsia="仿宋_GB2312"/>
                <w:sz w:val="21"/>
                <w:szCs w:val="21"/>
              </w:rPr>
            </w:pPr>
            <w:r>
              <w:rPr>
                <w:rFonts w:hint="eastAsia" w:ascii="仿宋_GB2312" w:hAnsi="宋体" w:eastAsia="仿宋_GB2312"/>
                <w:sz w:val="21"/>
                <w:szCs w:val="21"/>
              </w:rPr>
              <w:t>1．力学实验中心</w:t>
            </w:r>
          </w:p>
        </w:tc>
        <w:tc>
          <w:tcPr>
            <w:tcW w:w="2671" w:type="dxa"/>
            <w:tcBorders>
              <w:left w:val="single" w:color="auto" w:sz="4" w:space="0"/>
              <w:right w:val="single" w:color="auto" w:sz="4" w:space="0"/>
            </w:tcBorders>
            <w:vAlign w:val="center"/>
          </w:tcPr>
          <w:p>
            <w:pPr>
              <w:jc w:val="center"/>
              <w:rPr>
                <w:rFonts w:ascii="仿宋_GB2312" w:hAnsi="宋体" w:eastAsia="仿宋_GB2312"/>
                <w:sz w:val="21"/>
                <w:szCs w:val="21"/>
              </w:rPr>
            </w:pPr>
            <w:r>
              <w:rPr>
                <w:rFonts w:hint="eastAsia" w:ascii="仿宋_GB2312" w:hAnsi="宋体" w:eastAsia="仿宋_GB2312"/>
                <w:sz w:val="21"/>
                <w:szCs w:val="21"/>
              </w:rPr>
              <w:t>所有工科专业</w:t>
            </w:r>
          </w:p>
        </w:tc>
        <w:tc>
          <w:tcPr>
            <w:tcW w:w="2530" w:type="dxa"/>
            <w:tcBorders>
              <w:left w:val="single" w:color="auto" w:sz="4" w:space="0"/>
            </w:tcBorders>
            <w:vAlign w:val="center"/>
          </w:tcPr>
          <w:p>
            <w:pPr>
              <w:jc w:val="center"/>
              <w:rPr>
                <w:rFonts w:ascii="仿宋_GB2312" w:hAnsi="宋体" w:eastAsia="仿宋_GB2312"/>
                <w:sz w:val="21"/>
                <w:szCs w:val="21"/>
              </w:rPr>
            </w:pPr>
            <w:r>
              <w:rPr>
                <w:rFonts w:hint="eastAsia" w:ascii="仿宋_GB2312" w:hAnsi="宋体" w:eastAsia="仿宋_GB2312"/>
                <w:sz w:val="21"/>
                <w:szCs w:val="21"/>
              </w:rPr>
              <w:t>600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65" w:hRule="atLeast"/>
        </w:trPr>
        <w:tc>
          <w:tcPr>
            <w:tcW w:w="3321" w:type="dxa"/>
            <w:tcBorders>
              <w:right w:val="single" w:color="auto" w:sz="4" w:space="0"/>
            </w:tcBorders>
            <w:vAlign w:val="center"/>
          </w:tcPr>
          <w:p>
            <w:pPr>
              <w:jc w:val="center"/>
              <w:rPr>
                <w:rFonts w:ascii="仿宋_GB2312" w:hAnsi="宋体" w:eastAsia="仿宋_GB2312"/>
                <w:sz w:val="21"/>
                <w:szCs w:val="21"/>
              </w:rPr>
            </w:pPr>
            <w:r>
              <w:rPr>
                <w:rFonts w:hint="eastAsia" w:ascii="仿宋_GB2312" w:hAnsi="宋体" w:eastAsia="仿宋_GB2312"/>
                <w:sz w:val="21"/>
                <w:szCs w:val="21"/>
              </w:rPr>
              <w:t>2．水工实训中心</w:t>
            </w:r>
          </w:p>
        </w:tc>
        <w:tc>
          <w:tcPr>
            <w:tcW w:w="2671" w:type="dxa"/>
            <w:tcBorders>
              <w:left w:val="single" w:color="auto" w:sz="4" w:space="0"/>
              <w:right w:val="single" w:color="auto" w:sz="4" w:space="0"/>
            </w:tcBorders>
            <w:vAlign w:val="center"/>
          </w:tcPr>
          <w:p>
            <w:pPr>
              <w:jc w:val="center"/>
              <w:rPr>
                <w:rFonts w:ascii="仿宋_GB2312" w:hAnsi="宋体" w:eastAsia="仿宋_GB2312"/>
                <w:sz w:val="21"/>
                <w:szCs w:val="21"/>
              </w:rPr>
            </w:pPr>
            <w:r>
              <w:rPr>
                <w:rFonts w:hint="eastAsia" w:ascii="仿宋_GB2312" w:hAnsi="宋体" w:eastAsia="仿宋_GB2312"/>
                <w:sz w:val="21"/>
                <w:szCs w:val="21"/>
              </w:rPr>
              <w:t>水利类专业</w:t>
            </w:r>
          </w:p>
        </w:tc>
        <w:tc>
          <w:tcPr>
            <w:tcW w:w="2530" w:type="dxa"/>
            <w:tcBorders>
              <w:left w:val="single" w:color="auto" w:sz="4" w:space="0"/>
            </w:tcBorders>
            <w:vAlign w:val="center"/>
          </w:tcPr>
          <w:p>
            <w:pPr>
              <w:jc w:val="center"/>
              <w:rPr>
                <w:rFonts w:ascii="仿宋_GB2312" w:hAnsi="宋体" w:eastAsia="仿宋_GB2312"/>
                <w:sz w:val="21"/>
                <w:szCs w:val="21"/>
              </w:rPr>
            </w:pPr>
            <w:r>
              <w:rPr>
                <w:rFonts w:hint="eastAsia" w:ascii="仿宋_GB2312" w:hAnsi="宋体" w:eastAsia="仿宋_GB2312"/>
                <w:sz w:val="21"/>
                <w:szCs w:val="21"/>
              </w:rPr>
              <w:t>200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65" w:hRule="atLeast"/>
        </w:trPr>
        <w:tc>
          <w:tcPr>
            <w:tcW w:w="3321" w:type="dxa"/>
            <w:tcBorders>
              <w:right w:val="single" w:color="auto" w:sz="4" w:space="0"/>
            </w:tcBorders>
            <w:vAlign w:val="center"/>
          </w:tcPr>
          <w:p>
            <w:pPr>
              <w:jc w:val="center"/>
              <w:rPr>
                <w:rFonts w:ascii="仿宋_GB2312" w:hAnsi="宋体" w:eastAsia="仿宋_GB2312"/>
                <w:sz w:val="21"/>
                <w:szCs w:val="21"/>
              </w:rPr>
            </w:pPr>
            <w:r>
              <w:rPr>
                <w:rFonts w:hint="eastAsia" w:ascii="仿宋_GB2312" w:hAnsi="宋体" w:eastAsia="仿宋_GB2312"/>
                <w:sz w:val="21"/>
                <w:szCs w:val="21"/>
              </w:rPr>
              <w:t>3．水工模型实验室</w:t>
            </w:r>
          </w:p>
        </w:tc>
        <w:tc>
          <w:tcPr>
            <w:tcW w:w="2671" w:type="dxa"/>
            <w:tcBorders>
              <w:left w:val="single" w:color="auto" w:sz="4" w:space="0"/>
              <w:right w:val="single" w:color="auto" w:sz="4" w:space="0"/>
            </w:tcBorders>
            <w:vAlign w:val="center"/>
          </w:tcPr>
          <w:p>
            <w:pPr>
              <w:jc w:val="center"/>
              <w:rPr>
                <w:rFonts w:ascii="仿宋_GB2312" w:hAnsi="宋体" w:eastAsia="仿宋_GB2312"/>
                <w:sz w:val="21"/>
                <w:szCs w:val="21"/>
              </w:rPr>
            </w:pPr>
            <w:r>
              <w:rPr>
                <w:rFonts w:hint="eastAsia" w:ascii="仿宋_GB2312" w:hAnsi="宋体" w:eastAsia="仿宋_GB2312"/>
                <w:sz w:val="21"/>
                <w:szCs w:val="21"/>
              </w:rPr>
              <w:t>水利类专业</w:t>
            </w:r>
          </w:p>
        </w:tc>
        <w:tc>
          <w:tcPr>
            <w:tcW w:w="2530" w:type="dxa"/>
            <w:tcBorders>
              <w:left w:val="single" w:color="auto" w:sz="4" w:space="0"/>
            </w:tcBorders>
            <w:vAlign w:val="center"/>
          </w:tcPr>
          <w:p>
            <w:pPr>
              <w:jc w:val="center"/>
              <w:rPr>
                <w:rFonts w:ascii="仿宋_GB2312" w:hAnsi="宋体" w:eastAsia="仿宋_GB2312"/>
                <w:sz w:val="21"/>
                <w:szCs w:val="21"/>
              </w:rPr>
            </w:pPr>
            <w:r>
              <w:rPr>
                <w:rFonts w:hint="eastAsia" w:ascii="仿宋_GB2312" w:hAnsi="宋体" w:eastAsia="仿宋_GB2312"/>
                <w:sz w:val="21"/>
                <w:szCs w:val="21"/>
              </w:rPr>
              <w:t>200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65" w:hRule="atLeast"/>
        </w:trPr>
        <w:tc>
          <w:tcPr>
            <w:tcW w:w="3321" w:type="dxa"/>
            <w:tcBorders>
              <w:right w:val="single" w:color="auto" w:sz="4" w:space="0"/>
            </w:tcBorders>
            <w:vAlign w:val="center"/>
          </w:tcPr>
          <w:p>
            <w:pPr>
              <w:jc w:val="center"/>
              <w:rPr>
                <w:rFonts w:ascii="仿宋_GB2312" w:hAnsi="宋体" w:eastAsia="仿宋_GB2312"/>
                <w:sz w:val="21"/>
                <w:szCs w:val="21"/>
              </w:rPr>
            </w:pPr>
            <w:r>
              <w:rPr>
                <w:rFonts w:hint="eastAsia" w:ascii="仿宋_GB2312" w:hAnsi="宋体" w:eastAsia="仿宋_GB2312"/>
                <w:sz w:val="21"/>
                <w:szCs w:val="21"/>
              </w:rPr>
              <w:t>4．水务信息化综合实训中心</w:t>
            </w:r>
          </w:p>
        </w:tc>
        <w:tc>
          <w:tcPr>
            <w:tcW w:w="2671" w:type="dxa"/>
            <w:tcBorders>
              <w:left w:val="single" w:color="auto" w:sz="4" w:space="0"/>
              <w:right w:val="single" w:color="auto" w:sz="4" w:space="0"/>
            </w:tcBorders>
            <w:vAlign w:val="center"/>
          </w:tcPr>
          <w:p>
            <w:pPr>
              <w:jc w:val="center"/>
              <w:rPr>
                <w:rFonts w:ascii="仿宋_GB2312" w:hAnsi="宋体" w:eastAsia="仿宋_GB2312"/>
                <w:sz w:val="21"/>
                <w:szCs w:val="21"/>
              </w:rPr>
            </w:pPr>
            <w:r>
              <w:rPr>
                <w:rFonts w:hint="eastAsia" w:ascii="仿宋_GB2312" w:hAnsi="宋体" w:eastAsia="仿宋_GB2312"/>
                <w:sz w:val="21"/>
                <w:szCs w:val="21"/>
              </w:rPr>
              <w:t>水文水务</w:t>
            </w:r>
          </w:p>
        </w:tc>
        <w:tc>
          <w:tcPr>
            <w:tcW w:w="2530" w:type="dxa"/>
            <w:tcBorders>
              <w:left w:val="single" w:color="auto" w:sz="4" w:space="0"/>
            </w:tcBorders>
            <w:vAlign w:val="center"/>
          </w:tcPr>
          <w:p>
            <w:pPr>
              <w:jc w:val="center"/>
              <w:rPr>
                <w:rFonts w:ascii="仿宋_GB2312" w:hAnsi="宋体" w:eastAsia="仿宋_GB2312"/>
                <w:sz w:val="21"/>
                <w:szCs w:val="21"/>
              </w:rPr>
            </w:pPr>
            <w:r>
              <w:rPr>
                <w:rFonts w:hint="eastAsia" w:ascii="仿宋_GB2312" w:hAnsi="宋体" w:eastAsia="仿宋_GB2312"/>
                <w:sz w:val="21"/>
                <w:szCs w:val="21"/>
              </w:rPr>
              <w:t>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65" w:hRule="atLeast"/>
        </w:trPr>
        <w:tc>
          <w:tcPr>
            <w:tcW w:w="3321" w:type="dxa"/>
            <w:tcBorders>
              <w:right w:val="single" w:color="auto" w:sz="4" w:space="0"/>
            </w:tcBorders>
            <w:vAlign w:val="center"/>
          </w:tcPr>
          <w:p>
            <w:pPr>
              <w:jc w:val="center"/>
              <w:rPr>
                <w:rFonts w:ascii="仿宋_GB2312" w:hAnsi="宋体" w:eastAsia="仿宋_GB2312"/>
                <w:sz w:val="21"/>
                <w:szCs w:val="21"/>
              </w:rPr>
            </w:pPr>
            <w:r>
              <w:rPr>
                <w:rFonts w:hint="eastAsia" w:ascii="仿宋_GB2312" w:hAnsi="宋体" w:eastAsia="仿宋_GB2312"/>
                <w:sz w:val="21"/>
                <w:szCs w:val="21"/>
              </w:rPr>
              <w:t>5．经管类实训中心</w:t>
            </w:r>
          </w:p>
        </w:tc>
        <w:tc>
          <w:tcPr>
            <w:tcW w:w="2671" w:type="dxa"/>
            <w:tcBorders>
              <w:left w:val="single" w:color="auto" w:sz="4" w:space="0"/>
              <w:right w:val="single" w:color="auto" w:sz="4" w:space="0"/>
            </w:tcBorders>
            <w:vAlign w:val="center"/>
          </w:tcPr>
          <w:p>
            <w:pPr>
              <w:jc w:val="center"/>
              <w:rPr>
                <w:rFonts w:ascii="仿宋_GB2312" w:hAnsi="宋体" w:eastAsia="仿宋_GB2312"/>
                <w:sz w:val="21"/>
                <w:szCs w:val="21"/>
              </w:rPr>
            </w:pPr>
            <w:r>
              <w:rPr>
                <w:rFonts w:hint="eastAsia" w:ascii="仿宋_GB2312" w:hAnsi="宋体" w:eastAsia="仿宋_GB2312"/>
                <w:sz w:val="21"/>
                <w:szCs w:val="21"/>
              </w:rPr>
              <w:t>经管类专业</w:t>
            </w:r>
          </w:p>
        </w:tc>
        <w:tc>
          <w:tcPr>
            <w:tcW w:w="2530" w:type="dxa"/>
            <w:tcBorders>
              <w:left w:val="single" w:color="auto" w:sz="4" w:space="0"/>
            </w:tcBorders>
            <w:vAlign w:val="center"/>
          </w:tcPr>
          <w:p>
            <w:pPr>
              <w:jc w:val="center"/>
              <w:rPr>
                <w:rFonts w:ascii="仿宋_GB2312" w:hAnsi="宋体" w:eastAsia="仿宋_GB2312"/>
                <w:sz w:val="21"/>
                <w:szCs w:val="21"/>
              </w:rPr>
            </w:pPr>
            <w:r>
              <w:rPr>
                <w:rFonts w:hint="eastAsia" w:ascii="仿宋_GB2312" w:hAnsi="宋体" w:eastAsia="仿宋_GB2312"/>
                <w:sz w:val="21"/>
                <w:szCs w:val="21"/>
              </w:rPr>
              <w:t>400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65" w:hRule="atLeast"/>
        </w:trPr>
        <w:tc>
          <w:tcPr>
            <w:tcW w:w="3321" w:type="dxa"/>
            <w:tcBorders>
              <w:right w:val="single" w:color="auto" w:sz="4" w:space="0"/>
            </w:tcBorders>
            <w:vAlign w:val="center"/>
          </w:tcPr>
          <w:p>
            <w:pPr>
              <w:jc w:val="center"/>
              <w:rPr>
                <w:rFonts w:ascii="仿宋_GB2312" w:hAnsi="宋体" w:eastAsia="仿宋_GB2312"/>
                <w:sz w:val="21"/>
                <w:szCs w:val="21"/>
              </w:rPr>
            </w:pPr>
            <w:r>
              <w:rPr>
                <w:rFonts w:hint="eastAsia" w:ascii="仿宋_GB2312" w:hAnsi="宋体" w:eastAsia="仿宋_GB2312"/>
                <w:sz w:val="21"/>
                <w:szCs w:val="21"/>
              </w:rPr>
              <w:t>6．车辆综合实训中心</w:t>
            </w:r>
          </w:p>
        </w:tc>
        <w:tc>
          <w:tcPr>
            <w:tcW w:w="2671" w:type="dxa"/>
            <w:tcBorders>
              <w:left w:val="single" w:color="auto" w:sz="4" w:space="0"/>
              <w:right w:val="single" w:color="auto" w:sz="4" w:space="0"/>
            </w:tcBorders>
            <w:vAlign w:val="center"/>
          </w:tcPr>
          <w:p>
            <w:pPr>
              <w:jc w:val="center"/>
              <w:rPr>
                <w:rFonts w:ascii="仿宋_GB2312" w:hAnsi="宋体" w:eastAsia="仿宋_GB2312"/>
                <w:sz w:val="21"/>
                <w:szCs w:val="21"/>
              </w:rPr>
            </w:pPr>
            <w:r>
              <w:rPr>
                <w:rFonts w:hint="eastAsia" w:ascii="仿宋_GB2312" w:hAnsi="宋体" w:eastAsia="仿宋_GB2312"/>
                <w:sz w:val="21"/>
                <w:szCs w:val="21"/>
              </w:rPr>
              <w:t>车辆工程</w:t>
            </w:r>
          </w:p>
        </w:tc>
        <w:tc>
          <w:tcPr>
            <w:tcW w:w="2530" w:type="dxa"/>
            <w:tcBorders>
              <w:left w:val="single" w:color="auto" w:sz="4" w:space="0"/>
            </w:tcBorders>
            <w:vAlign w:val="center"/>
          </w:tcPr>
          <w:p>
            <w:pPr>
              <w:jc w:val="center"/>
              <w:rPr>
                <w:rFonts w:ascii="仿宋_GB2312" w:hAnsi="宋体" w:eastAsia="仿宋_GB2312"/>
                <w:sz w:val="21"/>
                <w:szCs w:val="21"/>
              </w:rPr>
            </w:pPr>
            <w:r>
              <w:rPr>
                <w:rFonts w:hint="eastAsia" w:ascii="仿宋_GB2312" w:hAnsi="宋体" w:eastAsia="仿宋_GB2312"/>
                <w:sz w:val="21"/>
                <w:szCs w:val="21"/>
              </w:rPr>
              <w:t>100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65" w:hRule="atLeast"/>
        </w:trPr>
        <w:tc>
          <w:tcPr>
            <w:tcW w:w="3321" w:type="dxa"/>
            <w:tcBorders>
              <w:right w:val="single" w:color="auto" w:sz="4" w:space="0"/>
            </w:tcBorders>
            <w:vAlign w:val="center"/>
          </w:tcPr>
          <w:p>
            <w:pPr>
              <w:jc w:val="center"/>
              <w:rPr>
                <w:rFonts w:ascii="仿宋_GB2312" w:hAnsi="宋体" w:eastAsia="仿宋_GB2312"/>
                <w:sz w:val="21"/>
                <w:szCs w:val="21"/>
              </w:rPr>
            </w:pPr>
            <w:r>
              <w:rPr>
                <w:rFonts w:hint="eastAsia" w:ascii="仿宋_GB2312" w:hAnsi="宋体" w:eastAsia="仿宋_GB2312"/>
                <w:sz w:val="21"/>
                <w:szCs w:val="21"/>
              </w:rPr>
              <w:t>7．酒店综合实训中心</w:t>
            </w:r>
          </w:p>
        </w:tc>
        <w:tc>
          <w:tcPr>
            <w:tcW w:w="2671" w:type="dxa"/>
            <w:tcBorders>
              <w:left w:val="single" w:color="auto" w:sz="4" w:space="0"/>
              <w:right w:val="single" w:color="auto" w:sz="4" w:space="0"/>
            </w:tcBorders>
            <w:vAlign w:val="center"/>
          </w:tcPr>
          <w:p>
            <w:pPr>
              <w:jc w:val="center"/>
              <w:rPr>
                <w:rFonts w:ascii="仿宋_GB2312" w:hAnsi="宋体" w:eastAsia="仿宋_GB2312"/>
                <w:sz w:val="21"/>
                <w:szCs w:val="21"/>
              </w:rPr>
            </w:pPr>
            <w:r>
              <w:rPr>
                <w:rFonts w:hint="eastAsia" w:ascii="仿宋_GB2312" w:hAnsi="宋体" w:eastAsia="仿宋_GB2312"/>
                <w:sz w:val="21"/>
                <w:szCs w:val="21"/>
              </w:rPr>
              <w:t>经管类专业</w:t>
            </w:r>
          </w:p>
        </w:tc>
        <w:tc>
          <w:tcPr>
            <w:tcW w:w="2530" w:type="dxa"/>
            <w:tcBorders>
              <w:left w:val="single" w:color="auto" w:sz="4" w:space="0"/>
            </w:tcBorders>
            <w:vAlign w:val="center"/>
          </w:tcPr>
          <w:p>
            <w:pPr>
              <w:jc w:val="center"/>
              <w:rPr>
                <w:rFonts w:ascii="仿宋_GB2312" w:hAnsi="宋体" w:eastAsia="仿宋_GB2312"/>
                <w:sz w:val="21"/>
                <w:szCs w:val="21"/>
              </w:rPr>
            </w:pPr>
            <w:r>
              <w:rPr>
                <w:rFonts w:hint="eastAsia" w:ascii="仿宋_GB2312" w:hAnsi="宋体" w:eastAsia="仿宋_GB2312"/>
                <w:sz w:val="21"/>
                <w:szCs w:val="21"/>
              </w:rPr>
              <w:t>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65" w:hRule="atLeast"/>
        </w:trPr>
        <w:tc>
          <w:tcPr>
            <w:tcW w:w="3321" w:type="dxa"/>
            <w:tcBorders>
              <w:right w:val="single" w:color="auto" w:sz="4" w:space="0"/>
            </w:tcBorders>
            <w:vAlign w:val="center"/>
          </w:tcPr>
          <w:p>
            <w:pPr>
              <w:jc w:val="center"/>
              <w:rPr>
                <w:rFonts w:ascii="仿宋_GB2312" w:hAnsi="宋体" w:eastAsia="仿宋_GB2312"/>
                <w:sz w:val="21"/>
                <w:szCs w:val="21"/>
              </w:rPr>
            </w:pPr>
            <w:r>
              <w:rPr>
                <w:rFonts w:hint="eastAsia" w:ascii="仿宋_GB2312" w:hAnsi="宋体" w:eastAsia="仿宋_GB2312"/>
                <w:sz w:val="21"/>
                <w:szCs w:val="21"/>
              </w:rPr>
              <w:t>8．计算机综合实训室</w:t>
            </w:r>
          </w:p>
        </w:tc>
        <w:tc>
          <w:tcPr>
            <w:tcW w:w="2671" w:type="dxa"/>
            <w:tcBorders>
              <w:left w:val="single" w:color="auto" w:sz="4" w:space="0"/>
              <w:right w:val="single" w:color="auto" w:sz="4" w:space="0"/>
            </w:tcBorders>
            <w:vAlign w:val="center"/>
          </w:tcPr>
          <w:p>
            <w:pPr>
              <w:jc w:val="center"/>
              <w:rPr>
                <w:rFonts w:ascii="仿宋_GB2312" w:hAnsi="宋体" w:eastAsia="仿宋_GB2312"/>
                <w:sz w:val="21"/>
                <w:szCs w:val="21"/>
              </w:rPr>
            </w:pPr>
            <w:r>
              <w:rPr>
                <w:rFonts w:hint="eastAsia" w:ascii="仿宋_GB2312" w:hAnsi="宋体" w:eastAsia="仿宋_GB2312"/>
                <w:sz w:val="21"/>
                <w:szCs w:val="21"/>
              </w:rPr>
              <w:t>计算机、通信专业</w:t>
            </w:r>
          </w:p>
        </w:tc>
        <w:tc>
          <w:tcPr>
            <w:tcW w:w="2530" w:type="dxa"/>
            <w:tcBorders>
              <w:left w:val="single" w:color="auto" w:sz="4" w:space="0"/>
            </w:tcBorders>
            <w:vAlign w:val="center"/>
          </w:tcPr>
          <w:p>
            <w:pPr>
              <w:jc w:val="center"/>
              <w:rPr>
                <w:rFonts w:ascii="仿宋_GB2312" w:hAnsi="宋体" w:eastAsia="仿宋_GB2312"/>
                <w:sz w:val="21"/>
                <w:szCs w:val="21"/>
              </w:rPr>
            </w:pPr>
            <w:r>
              <w:rPr>
                <w:rFonts w:hint="eastAsia" w:ascii="仿宋_GB2312" w:hAnsi="宋体" w:eastAsia="仿宋_GB2312"/>
                <w:sz w:val="21"/>
                <w:szCs w:val="21"/>
              </w:rPr>
              <w:t>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65" w:hRule="atLeast"/>
        </w:trPr>
        <w:tc>
          <w:tcPr>
            <w:tcW w:w="3321" w:type="dxa"/>
            <w:tcBorders>
              <w:right w:val="single" w:color="auto" w:sz="4" w:space="0"/>
            </w:tcBorders>
            <w:vAlign w:val="center"/>
          </w:tcPr>
          <w:p>
            <w:pPr>
              <w:jc w:val="center"/>
              <w:rPr>
                <w:rFonts w:ascii="仿宋_GB2312" w:hAnsi="宋体" w:eastAsia="仿宋_GB2312"/>
                <w:sz w:val="21"/>
                <w:szCs w:val="21"/>
              </w:rPr>
            </w:pPr>
            <w:r>
              <w:rPr>
                <w:rFonts w:hint="eastAsia" w:ascii="仿宋_GB2312" w:hAnsi="宋体" w:eastAsia="仿宋_GB2312"/>
                <w:sz w:val="21"/>
                <w:szCs w:val="21"/>
              </w:rPr>
              <w:t>9．电工电子实训中心</w:t>
            </w:r>
          </w:p>
        </w:tc>
        <w:tc>
          <w:tcPr>
            <w:tcW w:w="2671" w:type="dxa"/>
            <w:tcBorders>
              <w:left w:val="single" w:color="auto" w:sz="4" w:space="0"/>
              <w:right w:val="single" w:color="auto" w:sz="4" w:space="0"/>
            </w:tcBorders>
            <w:vAlign w:val="center"/>
          </w:tcPr>
          <w:p>
            <w:pPr>
              <w:jc w:val="center"/>
              <w:rPr>
                <w:rFonts w:ascii="仿宋_GB2312" w:hAnsi="宋体" w:eastAsia="仿宋_GB2312"/>
                <w:sz w:val="21"/>
                <w:szCs w:val="21"/>
              </w:rPr>
            </w:pPr>
            <w:r>
              <w:rPr>
                <w:rFonts w:hint="eastAsia" w:ascii="仿宋_GB2312" w:hAnsi="宋体" w:eastAsia="仿宋_GB2312"/>
                <w:sz w:val="21"/>
                <w:szCs w:val="21"/>
              </w:rPr>
              <w:t>电气类专业</w:t>
            </w:r>
          </w:p>
        </w:tc>
        <w:tc>
          <w:tcPr>
            <w:tcW w:w="2530" w:type="dxa"/>
            <w:tcBorders>
              <w:left w:val="single" w:color="auto" w:sz="4" w:space="0"/>
            </w:tcBorders>
            <w:vAlign w:val="center"/>
          </w:tcPr>
          <w:p>
            <w:pPr>
              <w:jc w:val="center"/>
              <w:rPr>
                <w:rFonts w:ascii="仿宋_GB2312" w:hAnsi="宋体" w:eastAsia="仿宋_GB2312"/>
                <w:sz w:val="21"/>
                <w:szCs w:val="21"/>
              </w:rPr>
            </w:pPr>
            <w:r>
              <w:rPr>
                <w:rFonts w:hint="eastAsia" w:ascii="仿宋_GB2312" w:hAnsi="宋体" w:eastAsia="仿宋_GB2312"/>
                <w:sz w:val="21"/>
                <w:szCs w:val="21"/>
              </w:rPr>
              <w:t>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65" w:hRule="atLeast"/>
        </w:trPr>
        <w:tc>
          <w:tcPr>
            <w:tcW w:w="3321" w:type="dxa"/>
            <w:tcBorders>
              <w:right w:val="single" w:color="auto" w:sz="4" w:space="0"/>
            </w:tcBorders>
            <w:vAlign w:val="center"/>
          </w:tcPr>
          <w:p>
            <w:pPr>
              <w:jc w:val="center"/>
              <w:rPr>
                <w:rFonts w:ascii="仿宋_GB2312" w:hAnsi="宋体" w:eastAsia="仿宋_GB2312"/>
                <w:sz w:val="21"/>
                <w:szCs w:val="21"/>
              </w:rPr>
            </w:pPr>
            <w:r>
              <w:rPr>
                <w:rFonts w:hint="eastAsia" w:ascii="仿宋_GB2312" w:hAnsi="宋体" w:eastAsia="仿宋_GB2312"/>
                <w:sz w:val="21"/>
                <w:szCs w:val="21"/>
              </w:rPr>
              <w:t>10．工程材料实验室</w:t>
            </w:r>
          </w:p>
        </w:tc>
        <w:tc>
          <w:tcPr>
            <w:tcW w:w="2671" w:type="dxa"/>
            <w:tcBorders>
              <w:left w:val="single" w:color="auto" w:sz="4" w:space="0"/>
              <w:right w:val="single" w:color="auto" w:sz="4" w:space="0"/>
            </w:tcBorders>
            <w:vAlign w:val="center"/>
          </w:tcPr>
          <w:p>
            <w:pPr>
              <w:jc w:val="center"/>
              <w:rPr>
                <w:rFonts w:ascii="仿宋_GB2312" w:hAnsi="宋体" w:eastAsia="仿宋_GB2312"/>
                <w:sz w:val="21"/>
                <w:szCs w:val="21"/>
              </w:rPr>
            </w:pPr>
            <w:r>
              <w:rPr>
                <w:rFonts w:hint="eastAsia" w:ascii="仿宋_GB2312" w:hAnsi="宋体" w:eastAsia="仿宋_GB2312"/>
                <w:sz w:val="21"/>
                <w:szCs w:val="21"/>
              </w:rPr>
              <w:t>水利类、土木类专业</w:t>
            </w:r>
          </w:p>
        </w:tc>
        <w:tc>
          <w:tcPr>
            <w:tcW w:w="2530" w:type="dxa"/>
            <w:tcBorders>
              <w:left w:val="single" w:color="auto" w:sz="4" w:space="0"/>
            </w:tcBorders>
            <w:vAlign w:val="center"/>
          </w:tcPr>
          <w:p>
            <w:pPr>
              <w:jc w:val="center"/>
              <w:rPr>
                <w:rFonts w:ascii="仿宋_GB2312" w:hAnsi="宋体" w:eastAsia="仿宋_GB2312"/>
                <w:sz w:val="21"/>
                <w:szCs w:val="21"/>
              </w:rPr>
            </w:pPr>
            <w:r>
              <w:rPr>
                <w:rFonts w:hint="eastAsia" w:ascii="仿宋_GB2312" w:hAnsi="宋体" w:eastAsia="仿宋_GB2312"/>
                <w:sz w:val="21"/>
                <w:szCs w:val="21"/>
              </w:rPr>
              <w:t>100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65" w:hRule="atLeast"/>
        </w:trPr>
        <w:tc>
          <w:tcPr>
            <w:tcW w:w="3321" w:type="dxa"/>
            <w:tcBorders>
              <w:right w:val="single" w:color="auto" w:sz="4" w:space="0"/>
            </w:tcBorders>
            <w:vAlign w:val="center"/>
          </w:tcPr>
          <w:p>
            <w:pPr>
              <w:jc w:val="center"/>
              <w:rPr>
                <w:rFonts w:ascii="仿宋_GB2312" w:hAnsi="宋体" w:eastAsia="仿宋_GB2312"/>
                <w:sz w:val="21"/>
                <w:szCs w:val="21"/>
              </w:rPr>
            </w:pPr>
            <w:r>
              <w:rPr>
                <w:rFonts w:hint="eastAsia" w:ascii="仿宋_GB2312" w:hAnsi="宋体" w:eastAsia="仿宋_GB2312"/>
                <w:sz w:val="21"/>
                <w:szCs w:val="21"/>
              </w:rPr>
              <w:t>11．测绘试验中心</w:t>
            </w:r>
          </w:p>
        </w:tc>
        <w:tc>
          <w:tcPr>
            <w:tcW w:w="2671" w:type="dxa"/>
            <w:tcBorders>
              <w:left w:val="single" w:color="auto" w:sz="4" w:space="0"/>
              <w:right w:val="single" w:color="auto" w:sz="4" w:space="0"/>
            </w:tcBorders>
            <w:vAlign w:val="center"/>
          </w:tcPr>
          <w:p>
            <w:pPr>
              <w:jc w:val="center"/>
              <w:rPr>
                <w:rFonts w:ascii="仿宋_GB2312" w:hAnsi="宋体" w:eastAsia="仿宋_GB2312"/>
                <w:sz w:val="21"/>
                <w:szCs w:val="21"/>
              </w:rPr>
            </w:pPr>
            <w:r>
              <w:rPr>
                <w:rFonts w:hint="eastAsia" w:ascii="仿宋_GB2312" w:hAnsi="宋体" w:eastAsia="仿宋_GB2312"/>
                <w:sz w:val="21"/>
                <w:szCs w:val="21"/>
              </w:rPr>
              <w:t>工科类专业</w:t>
            </w:r>
          </w:p>
        </w:tc>
        <w:tc>
          <w:tcPr>
            <w:tcW w:w="2530" w:type="dxa"/>
            <w:tcBorders>
              <w:left w:val="single" w:color="auto" w:sz="4" w:space="0"/>
            </w:tcBorders>
            <w:vAlign w:val="center"/>
          </w:tcPr>
          <w:p>
            <w:pPr>
              <w:jc w:val="center"/>
              <w:rPr>
                <w:rFonts w:ascii="仿宋_GB2312" w:hAnsi="宋体" w:eastAsia="仿宋_GB2312"/>
                <w:sz w:val="21"/>
                <w:szCs w:val="21"/>
              </w:rPr>
            </w:pPr>
            <w:r>
              <w:rPr>
                <w:rFonts w:hint="eastAsia" w:ascii="仿宋_GB2312" w:hAnsi="宋体" w:eastAsia="仿宋_GB2312"/>
                <w:sz w:val="21"/>
                <w:szCs w:val="21"/>
              </w:rPr>
              <w:t>300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65" w:hRule="atLeast"/>
        </w:trPr>
        <w:tc>
          <w:tcPr>
            <w:tcW w:w="3321" w:type="dxa"/>
            <w:tcBorders>
              <w:right w:val="single" w:color="auto" w:sz="4" w:space="0"/>
            </w:tcBorders>
            <w:vAlign w:val="center"/>
          </w:tcPr>
          <w:p>
            <w:pPr>
              <w:jc w:val="center"/>
              <w:rPr>
                <w:rFonts w:ascii="仿宋_GB2312" w:hAnsi="宋体" w:eastAsia="仿宋_GB2312"/>
                <w:sz w:val="21"/>
                <w:szCs w:val="21"/>
              </w:rPr>
            </w:pPr>
            <w:r>
              <w:rPr>
                <w:rFonts w:hint="eastAsia" w:ascii="仿宋_GB2312" w:hAnsi="宋体" w:eastAsia="仿宋_GB2312"/>
                <w:sz w:val="21"/>
                <w:szCs w:val="21"/>
              </w:rPr>
              <w:t>12.创业实训中心</w:t>
            </w:r>
          </w:p>
        </w:tc>
        <w:tc>
          <w:tcPr>
            <w:tcW w:w="2671" w:type="dxa"/>
            <w:tcBorders>
              <w:left w:val="single" w:color="auto" w:sz="4" w:space="0"/>
              <w:right w:val="single" w:color="auto" w:sz="4" w:space="0"/>
            </w:tcBorders>
            <w:vAlign w:val="center"/>
          </w:tcPr>
          <w:p>
            <w:pPr>
              <w:jc w:val="center"/>
              <w:rPr>
                <w:rFonts w:ascii="仿宋_GB2312" w:hAnsi="宋体" w:eastAsia="仿宋_GB2312"/>
                <w:sz w:val="21"/>
                <w:szCs w:val="21"/>
              </w:rPr>
            </w:pPr>
            <w:r>
              <w:rPr>
                <w:rFonts w:hint="eastAsia" w:ascii="仿宋_GB2312" w:hAnsi="宋体" w:eastAsia="仿宋_GB2312"/>
                <w:sz w:val="21"/>
                <w:szCs w:val="21"/>
              </w:rPr>
              <w:t>全校各专业</w:t>
            </w:r>
          </w:p>
        </w:tc>
        <w:tc>
          <w:tcPr>
            <w:tcW w:w="2530" w:type="dxa"/>
            <w:tcBorders>
              <w:left w:val="single" w:color="auto" w:sz="4" w:space="0"/>
            </w:tcBorders>
            <w:vAlign w:val="center"/>
          </w:tcPr>
          <w:p>
            <w:pPr>
              <w:jc w:val="center"/>
              <w:rPr>
                <w:rFonts w:ascii="仿宋_GB2312" w:hAnsi="宋体" w:eastAsia="仿宋_GB2312"/>
                <w:sz w:val="21"/>
                <w:szCs w:val="21"/>
              </w:rPr>
            </w:pPr>
            <w:r>
              <w:rPr>
                <w:rFonts w:hint="eastAsia" w:ascii="仿宋_GB2312" w:hAnsi="宋体" w:eastAsia="仿宋_GB2312"/>
                <w:sz w:val="21"/>
                <w:szCs w:val="21"/>
              </w:rPr>
              <w:t>600</w:t>
            </w:r>
          </w:p>
        </w:tc>
      </w:tr>
    </w:tbl>
    <w:p>
      <w:pPr>
        <w:pStyle w:val="4"/>
        <w:rPr>
          <w:rFonts w:hint="eastAsia" w:asciiTheme="majorEastAsia" w:hAnsiTheme="majorEastAsia" w:eastAsiaTheme="majorEastAsia" w:cstheme="majorEastAsia"/>
          <w:sz w:val="32"/>
          <w:szCs w:val="32"/>
        </w:rPr>
      </w:pPr>
      <w:bookmarkStart w:id="22" w:name="_Toc469401110"/>
      <w:r>
        <w:rPr>
          <w:rFonts w:hint="eastAsia" w:asciiTheme="majorEastAsia" w:hAnsiTheme="majorEastAsia" w:eastAsiaTheme="majorEastAsia" w:cstheme="majorEastAsia"/>
          <w:sz w:val="32"/>
          <w:szCs w:val="32"/>
        </w:rPr>
        <w:t>2.实践性环节</w:t>
      </w:r>
      <w:bookmarkEnd w:id="22"/>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sz w:val="32"/>
          <w:szCs w:val="32"/>
        </w:rPr>
      </w:pPr>
      <w:r>
        <w:rPr>
          <w:rFonts w:hint="eastAsia" w:ascii="仿宋_GB2312" w:hAnsi="仿宋_GB2312" w:eastAsia="仿宋_GB2312" w:cs="仿宋_GB2312"/>
          <w:sz w:val="32"/>
          <w:szCs w:val="32"/>
        </w:rPr>
        <w:t>学院依据应用型人才培养目标，加强对实践教学环节的管理，规定了实践教学的学分，其中工科类专业实践教学的学分占总学分的30%以上；经管类专业实践教学的学分占总学分的25%以上；同时为加强实习过程的规范管理，制定了实习工作管理办法、实习大纲和实习计划，选派指导教师，与企业人员共同负责实习全过程的指导与管理。教学管理部门和各教学单位通过检查指导和听取实习单位反馈意见等方式加强对学生实习质量的监控。</w:t>
      </w:r>
    </w:p>
    <w:p>
      <w:pPr>
        <w:pStyle w:val="4"/>
        <w:rPr>
          <w:rFonts w:hint="eastAsia" w:asciiTheme="majorEastAsia" w:hAnsiTheme="majorEastAsia" w:eastAsiaTheme="majorEastAsia" w:cstheme="majorEastAsia"/>
          <w:sz w:val="32"/>
          <w:szCs w:val="32"/>
        </w:rPr>
      </w:pPr>
      <w:bookmarkStart w:id="23" w:name="_Toc469401111"/>
      <w:r>
        <w:rPr>
          <w:rFonts w:hint="eastAsia" w:asciiTheme="majorEastAsia" w:hAnsiTheme="majorEastAsia" w:eastAsiaTheme="majorEastAsia" w:cstheme="majorEastAsia"/>
          <w:sz w:val="32"/>
          <w:szCs w:val="32"/>
        </w:rPr>
        <w:t>3.毕业设计</w:t>
      </w:r>
      <w:bookmarkEnd w:id="23"/>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2"/>
          <w:szCs w:val="32"/>
        </w:rPr>
        <w:t>学院高度重视毕业论文（设计）工作，成立了院系两级毕业论文（设计）领导机构，建立了三级管理制度，开展了前、中、后三期专项检查。加大对毕业论文（设计）的管理与检查，从选题、指导、撰写、答辩到成绩评定等各环节实行全过程管理与监控。引导学生从工程、社会实际中发现问题，综合运用所学知识解决实际问题，提高创新创业实践能力。促进学生到实习基地完成工程实例的毕业设计，工科专业毕业设计真题率均超过50%。</w:t>
      </w:r>
    </w:p>
    <w:p>
      <w:pPr>
        <w:pStyle w:val="3"/>
        <w:rPr>
          <w:sz w:val="32"/>
          <w:szCs w:val="32"/>
        </w:rPr>
      </w:pPr>
      <w:bookmarkStart w:id="24" w:name="_Toc469401112"/>
      <w:r>
        <w:rPr>
          <w:rFonts w:hint="eastAsia"/>
          <w:sz w:val="32"/>
          <w:szCs w:val="32"/>
        </w:rPr>
        <w:t>五、构建以实践为核心的创新创业教育体系</w:t>
      </w:r>
      <w:bookmarkEnd w:id="24"/>
    </w:p>
    <w:p>
      <w:pPr>
        <w:pStyle w:val="4"/>
        <w:rPr>
          <w:rFonts w:hint="eastAsia" w:asciiTheme="majorEastAsia" w:hAnsiTheme="majorEastAsia" w:eastAsiaTheme="majorEastAsia" w:cstheme="majorEastAsia"/>
          <w:sz w:val="32"/>
          <w:szCs w:val="32"/>
        </w:rPr>
      </w:pPr>
      <w:bookmarkStart w:id="25" w:name="_Toc469401113"/>
      <w:r>
        <w:rPr>
          <w:rFonts w:hint="eastAsia" w:asciiTheme="majorEastAsia" w:hAnsiTheme="majorEastAsia" w:eastAsiaTheme="majorEastAsia" w:cstheme="majorEastAsia"/>
          <w:sz w:val="32"/>
          <w:szCs w:val="32"/>
        </w:rPr>
        <w:t>1.开展丰富多彩的双创实践活动</w:t>
      </w:r>
      <w:bookmarkEnd w:id="25"/>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积极组织学生参加各类创新创业（学科）竞赛，扩大参与学生受益面</w:t>
      </w:r>
      <w:r>
        <w:rPr>
          <w:rFonts w:hint="eastAsia" w:ascii="仿宋_GB2312" w:hAnsi="仿宋_GB2312" w:eastAsia="仿宋_GB2312" w:cs="仿宋_GB2312"/>
          <w:sz w:val="32"/>
          <w:szCs w:val="32"/>
          <w:lang w:eastAsia="zh-CN"/>
        </w:rPr>
        <w:t>。学院</w:t>
      </w:r>
      <w:r>
        <w:rPr>
          <w:rFonts w:hint="eastAsia" w:ascii="仿宋_GB2312" w:hAnsi="仿宋_GB2312" w:eastAsia="仿宋_GB2312" w:cs="仿宋_GB2312"/>
          <w:sz w:val="32"/>
          <w:szCs w:val="32"/>
        </w:rPr>
        <w:t>全年共组织各类创新创业竞赛</w:t>
      </w:r>
      <w:r>
        <w:rPr>
          <w:rFonts w:hint="eastAsia" w:ascii="仿宋_GB2312" w:hAnsi="仿宋_GB2312" w:eastAsia="仿宋_GB2312" w:cs="仿宋_GB2312"/>
          <w:sz w:val="32"/>
          <w:szCs w:val="32"/>
          <w:lang w:val="en-US" w:eastAsia="zh-CN"/>
        </w:rPr>
        <w:t>40</w:t>
      </w:r>
      <w:r>
        <w:rPr>
          <w:rFonts w:hint="eastAsia" w:ascii="仿宋_GB2312" w:hAnsi="仿宋_GB2312" w:eastAsia="仿宋_GB2312" w:cs="仿宋_GB2312"/>
          <w:sz w:val="32"/>
          <w:szCs w:val="32"/>
        </w:rPr>
        <w:t>项，获得省部级以上奖励</w:t>
      </w:r>
      <w:r>
        <w:rPr>
          <w:rFonts w:hint="eastAsia" w:ascii="仿宋_GB2312" w:hAnsi="仿宋_GB2312" w:eastAsia="仿宋_GB2312" w:cs="仿宋_GB2312"/>
          <w:sz w:val="32"/>
          <w:szCs w:val="32"/>
          <w:lang w:val="en-US" w:eastAsia="zh-CN"/>
        </w:rPr>
        <w:t>200余</w:t>
      </w:r>
      <w:r>
        <w:rPr>
          <w:rFonts w:hint="eastAsia" w:ascii="仿宋_GB2312" w:hAnsi="仿宋_GB2312" w:eastAsia="仿宋_GB2312" w:cs="仿宋_GB2312"/>
          <w:sz w:val="32"/>
          <w:szCs w:val="32"/>
        </w:rPr>
        <w:t>项，获奖数有了较大幅度增长，并在活动中培育出两项省教学成果二等奖，这也是我院第一次获省级教学成果二等奖。进一步规范各类活动的管理和组织流程，所有活动在校内都组织了宣讲、预赛、开放日等形式，扩大了受益面。按照“教师主导、学生主体”的原则，立项校级大创项目159项，省级项目50项，为明年培育更高级别项目打下了基础。启动了双创基础课程的研制工作，成立了大学生创新创业协会和专利创新教育基地，双创实践中心场地建设已</w:t>
      </w:r>
      <w:r>
        <w:rPr>
          <w:rFonts w:hint="eastAsia" w:ascii="仿宋_GB2312" w:hAnsi="仿宋_GB2312" w:eastAsia="仿宋_GB2312" w:cs="仿宋_GB2312"/>
          <w:sz w:val="32"/>
          <w:szCs w:val="32"/>
          <w:lang w:eastAsia="zh-CN"/>
        </w:rPr>
        <w:t>投入使用</w:t>
      </w:r>
      <w:r>
        <w:rPr>
          <w:rFonts w:hint="eastAsia" w:ascii="仿宋_GB2312" w:hAnsi="仿宋_GB2312" w:eastAsia="仿宋_GB2312" w:cs="仿宋_GB2312"/>
          <w:sz w:val="32"/>
          <w:szCs w:val="32"/>
        </w:rPr>
        <w:t>，为今后创新创业教育和校园文化活动的开展开辟了场所。</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精心组织暑期社会实践。组织师生团队，深入社会行业企业中，发现问题，探索解决方案，提高创新创业能力。按照“目标精准化、工作系统化、实施项目化、传播立体化”和“按需设项、据项组团、双向受益”的原则，通过组建重点团队和实施专项计划，组织学生广泛开展实践服务活动，努力扩大活动覆盖面、提升活动实效性。我院201</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的暑期社会实践共组织重点团队65个，获得国家媒体报道30篇次，省级媒体报道35篇次，地市级媒体报道85篇次。形成论文9篇，调研报告若干，公交地图册1套，旅游图1套，研发器材设计图1份，船闸工程结构平面图1套等等成果。学院荣获2015年安徽省暑期社会实践先进单位。</w:t>
      </w:r>
    </w:p>
    <w:p>
      <w:pPr>
        <w:pStyle w:val="4"/>
        <w:rPr>
          <w:rFonts w:hint="eastAsia" w:asciiTheme="majorEastAsia" w:hAnsiTheme="majorEastAsia" w:eastAsiaTheme="majorEastAsia" w:cstheme="majorEastAsia"/>
          <w:sz w:val="32"/>
          <w:szCs w:val="32"/>
        </w:rPr>
      </w:pPr>
      <w:bookmarkStart w:id="26" w:name="_Toc469401114"/>
      <w:r>
        <w:rPr>
          <w:rFonts w:hint="eastAsia" w:asciiTheme="majorEastAsia" w:hAnsiTheme="majorEastAsia" w:eastAsiaTheme="majorEastAsia" w:cstheme="majorEastAsia"/>
          <w:sz w:val="32"/>
          <w:szCs w:val="32"/>
        </w:rPr>
        <w:t>2.完善双创教育体系相关要素</w:t>
      </w:r>
      <w:bookmarkEnd w:id="26"/>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20" w:firstLineChars="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建立一支专职兼职结合、校内校外结合的师资队伍，保障双创课程、实践和各项活动的开展与指导。通过在校内教师中组建与专业相关的创新创业指导团队，加强建设，积极引导教师参加各类培训，提高双创指导水平；从行业企业中聘用具有成功经验的创业企业家担任兼职导师，现身说法，对学生具有更好的影响力。</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20" w:firstLineChars="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科学设置双创课程，除了面向全体学生设置基础性的、先导性的创新基础和创业基础知识的课程外，更需要与各专业核心课程相结合，在专业核心课程中融入创新创业教育的目标、内容，重视课程教学效果中创新创业的成果产出。在2016级人才培养方案课程体系中，双创课程共6个学分，每个学生必须完成2个学分理论课程和4个学分实践活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20" w:firstLineChars="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在校内积极营造创新创业校园文化，广泛开展创新创业沙龙、创新创业大赛等活动，宣传创新创业的核心价值观，注重示范典型的引领作用，在校内形成创新创业的浓郁氛围。加强创新创业的指导与孵化工作，对于在双创实践活动中形成的优秀成果，强化论文写作、专利申报等创新成果的指导，对于有发展潜力的创业项目配备专门的创业导师，并引入创业孵化基地进行培育。</w:t>
      </w:r>
    </w:p>
    <w:p>
      <w:pPr>
        <w:pStyle w:val="4"/>
        <w:rPr>
          <w:rFonts w:hint="eastAsia" w:asciiTheme="majorEastAsia" w:hAnsiTheme="majorEastAsia" w:eastAsiaTheme="majorEastAsia" w:cstheme="majorEastAsia"/>
          <w:sz w:val="32"/>
          <w:szCs w:val="32"/>
        </w:rPr>
      </w:pPr>
      <w:bookmarkStart w:id="27" w:name="_Toc469401115"/>
      <w:r>
        <w:rPr>
          <w:rFonts w:hint="eastAsia" w:asciiTheme="majorEastAsia" w:hAnsiTheme="majorEastAsia" w:eastAsiaTheme="majorEastAsia" w:cstheme="majorEastAsia"/>
          <w:sz w:val="32"/>
          <w:szCs w:val="32"/>
        </w:rPr>
        <w:t>3.加大保障条件建设</w:t>
      </w:r>
      <w:bookmarkEnd w:id="27"/>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1" w:firstLineChars="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学院成立了创新创业教育领导小组，印发了深化改革综合方案，加强工作顶层设计与统筹。建立创新创业教育指导委员会，吸收行业企业专家创业领袖参加，加强创新创业具体业务指导。成立创新创业教育中心，具体负责院内创新创业教育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1" w:firstLineChars="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为创新创业实践活动配备足够的场地、设备和经费条件，加强对双创教育中重点问题的教学研究力度。学院建设了3000平方米的创新创业实践中心，结合学科专业设置了水利土木工程技术创新中心、新技术加工中心、电子设计创新实验室等十几个创新创业工作室，保障双创实践活动的开展。</w:t>
      </w:r>
    </w:p>
    <w:p>
      <w:pPr>
        <w:pStyle w:val="3"/>
        <w:rPr>
          <w:sz w:val="32"/>
          <w:szCs w:val="32"/>
        </w:rPr>
      </w:pPr>
      <w:bookmarkStart w:id="28" w:name="_Toc469401116"/>
      <w:r>
        <w:rPr>
          <w:rFonts w:hint="eastAsia"/>
          <w:sz w:val="32"/>
          <w:szCs w:val="32"/>
        </w:rPr>
        <w:t>六、教学改革</w:t>
      </w:r>
      <w:bookmarkEnd w:id="28"/>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6" w:firstLineChars="202"/>
        <w:textAlignment w:val="auto"/>
        <w:outlineLvl w:val="9"/>
        <w:rPr>
          <w:rFonts w:ascii="仿宋_GB2312" w:hAnsi="仿宋_GB2312" w:eastAsia="仿宋_GB2312" w:cs="仿宋_GB2312"/>
          <w:sz w:val="32"/>
          <w:szCs w:val="32"/>
        </w:rPr>
      </w:pPr>
      <w:r>
        <w:rPr>
          <w:rFonts w:hint="eastAsia" w:ascii="仿宋_GB2312" w:eastAsia="仿宋_GB2312"/>
          <w:sz w:val="32"/>
          <w:szCs w:val="32"/>
        </w:rPr>
        <w:t>以校、省两级质量工程项目为抓手，积极推进教育教学改革。</w:t>
      </w: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年校级立项的质量工程项目</w:t>
      </w:r>
      <w:r>
        <w:rPr>
          <w:rFonts w:hint="eastAsia" w:ascii="仿宋_GB2312" w:hAnsi="仿宋_GB2312" w:eastAsia="仿宋_GB2312" w:cs="仿宋_GB2312"/>
          <w:sz w:val="32"/>
          <w:szCs w:val="32"/>
          <w:lang w:val="en-US" w:eastAsia="zh-CN"/>
        </w:rPr>
        <w:t>60</w:t>
      </w:r>
      <w:r>
        <w:rPr>
          <w:rFonts w:hint="eastAsia" w:ascii="仿宋_GB2312" w:hAnsi="仿宋_GB2312" w:eastAsia="仿宋_GB2312" w:cs="仿宋_GB2312"/>
          <w:sz w:val="32"/>
          <w:szCs w:val="32"/>
        </w:rPr>
        <w:t>项，其中包括</w:t>
      </w:r>
      <w:r>
        <w:rPr>
          <w:rFonts w:hint="eastAsia" w:ascii="仿宋_GB2312" w:hAnsi="仿宋_GB2312" w:eastAsia="仿宋_GB2312" w:cs="仿宋_GB2312"/>
          <w:sz w:val="32"/>
          <w:szCs w:val="32"/>
          <w:lang w:eastAsia="zh-CN"/>
        </w:rPr>
        <w:t>创新创业指导团队</w:t>
      </w:r>
      <w:r>
        <w:rPr>
          <w:rFonts w:hint="eastAsia" w:ascii="仿宋_GB2312" w:hAnsi="仿宋_GB2312" w:eastAsia="仿宋_GB2312" w:cs="仿宋_GB2312"/>
          <w:sz w:val="32"/>
          <w:szCs w:val="32"/>
          <w:lang w:val="en-US" w:eastAsia="zh-CN"/>
        </w:rPr>
        <w:t>5个，创新创业专业课程1门，双语课程8门，校企合作实践教育基地9个，</w:t>
      </w:r>
      <w:r>
        <w:rPr>
          <w:rFonts w:hint="eastAsia" w:ascii="仿宋_GB2312" w:hAnsi="仿宋_GB2312" w:eastAsia="仿宋_GB2312" w:cs="仿宋_GB2312"/>
          <w:sz w:val="32"/>
          <w:szCs w:val="32"/>
        </w:rPr>
        <w:t>教学研究项目2</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项、应用型课程建设</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项，MOOC示范课</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项。</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项教研项目中，重点项目</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项。201</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年立项的省级质量工程共1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项，具体如表3所示。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表3 201</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年立项的省级质量工程项目清单</w:t>
      </w:r>
    </w:p>
    <w:tbl>
      <w:tblPr>
        <w:tblStyle w:val="16"/>
        <w:tblW w:w="8336" w:type="dxa"/>
        <w:tblInd w:w="0" w:type="dxa"/>
        <w:tblLayout w:type="fixed"/>
        <w:tblCellMar>
          <w:top w:w="15" w:type="dxa"/>
          <w:left w:w="15" w:type="dxa"/>
          <w:bottom w:w="15" w:type="dxa"/>
          <w:right w:w="15" w:type="dxa"/>
        </w:tblCellMar>
      </w:tblPr>
      <w:tblGrid>
        <w:gridCol w:w="569"/>
        <w:gridCol w:w="1582"/>
        <w:gridCol w:w="2009"/>
        <w:gridCol w:w="2194"/>
        <w:gridCol w:w="1041"/>
        <w:gridCol w:w="941"/>
      </w:tblGrid>
      <w:tr>
        <w:tblPrEx>
          <w:tblLayout w:type="fixed"/>
          <w:tblCellMar>
            <w:top w:w="15" w:type="dxa"/>
            <w:left w:w="15" w:type="dxa"/>
            <w:bottom w:w="15" w:type="dxa"/>
            <w:right w:w="15" w:type="dxa"/>
          </w:tblCellMar>
        </w:tblPrEx>
        <w:trPr>
          <w:trHeight w:val="542"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rPr>
              <w:t>序号</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rPr>
              <w:t>类型</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rPr>
              <w:t>项目类型</w:t>
            </w: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rPr>
              <w:t>名称</w:t>
            </w: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rPr>
              <w:t>负责人</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b/>
                <w:color w:val="000000"/>
                <w:sz w:val="21"/>
                <w:szCs w:val="21"/>
              </w:rPr>
            </w:pPr>
            <w:r>
              <w:rPr>
                <w:rFonts w:hint="eastAsia" w:ascii="仿宋_GB2312" w:hAnsi="仿宋_GB2312" w:eastAsia="仿宋_GB2312" w:cs="仿宋_GB2312"/>
                <w:b/>
                <w:color w:val="000000"/>
                <w:kern w:val="0"/>
                <w:sz w:val="21"/>
                <w:szCs w:val="21"/>
              </w:rPr>
              <w:t>级别或等级</w:t>
            </w:r>
          </w:p>
        </w:tc>
      </w:tr>
      <w:tr>
        <w:tblPrEx>
          <w:tblLayout w:type="fixed"/>
          <w:tblCellMar>
            <w:top w:w="15" w:type="dxa"/>
            <w:left w:w="15" w:type="dxa"/>
            <w:bottom w:w="15" w:type="dxa"/>
            <w:right w:w="15" w:type="dxa"/>
          </w:tblCellMar>
        </w:tblPrEx>
        <w:trPr>
          <w:trHeight w:val="48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rPr>
              <w:t>1</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rPr>
              <w:t>省级质量工程</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特色（品牌）专业</w:t>
            </w: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水文与水资源工程专业</w:t>
            </w: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黄振平</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省级</w:t>
            </w:r>
          </w:p>
        </w:tc>
      </w:tr>
      <w:tr>
        <w:tblPrEx>
          <w:tblLayout w:type="fixed"/>
          <w:tblCellMar>
            <w:top w:w="15" w:type="dxa"/>
            <w:left w:w="15" w:type="dxa"/>
            <w:bottom w:w="15" w:type="dxa"/>
            <w:right w:w="15" w:type="dxa"/>
          </w:tblCellMar>
        </w:tblPrEx>
        <w:trPr>
          <w:trHeight w:val="48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rPr>
              <w:t>2</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rPr>
              <w:t>省级质量工程</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大规模在线开放课程（MOOC）示范项目</w:t>
            </w: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材料力学</w:t>
            </w: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李杰如</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省级</w:t>
            </w:r>
          </w:p>
        </w:tc>
      </w:tr>
      <w:tr>
        <w:tblPrEx>
          <w:tblLayout w:type="fixed"/>
          <w:tblCellMar>
            <w:top w:w="15" w:type="dxa"/>
            <w:left w:w="15" w:type="dxa"/>
            <w:bottom w:w="15" w:type="dxa"/>
            <w:right w:w="15" w:type="dxa"/>
          </w:tblCellMar>
        </w:tblPrEx>
        <w:trPr>
          <w:trHeight w:val="48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rPr>
              <w:t>3</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rPr>
              <w:t>省级质量工程</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教学研究项目</w:t>
            </w: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应用型本科能源与机械类专业群建设研究</w:t>
            </w: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郑源</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重大</w:t>
            </w:r>
          </w:p>
        </w:tc>
      </w:tr>
      <w:tr>
        <w:tblPrEx>
          <w:tblLayout w:type="fixed"/>
          <w:tblCellMar>
            <w:top w:w="15" w:type="dxa"/>
            <w:left w:w="15" w:type="dxa"/>
            <w:bottom w:w="15" w:type="dxa"/>
            <w:right w:w="15" w:type="dxa"/>
          </w:tblCellMar>
        </w:tblPrEx>
        <w:trPr>
          <w:trHeight w:val="48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rPr>
              <w:t>4</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rPr>
              <w:t>省级质量工程</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教学研究项目</w:t>
            </w: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应用型人才培养模式下电子信息类专业创新实践教学体系的构建与研究</w:t>
            </w: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李绍铭</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重大</w:t>
            </w:r>
          </w:p>
        </w:tc>
      </w:tr>
      <w:tr>
        <w:tblPrEx>
          <w:tblLayout w:type="fixed"/>
          <w:tblCellMar>
            <w:top w:w="15" w:type="dxa"/>
            <w:left w:w="15" w:type="dxa"/>
            <w:bottom w:w="15" w:type="dxa"/>
            <w:right w:w="15" w:type="dxa"/>
          </w:tblCellMar>
        </w:tblPrEx>
        <w:trPr>
          <w:trHeight w:val="285"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rPr>
              <w:t>5</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rPr>
              <w:t>省级质量工程</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教学研究项目</w:t>
            </w: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微课支撑下翻转课堂教学模式在经济管理类法律课程中的应用研究</w:t>
            </w: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何有山</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重大</w:t>
            </w:r>
          </w:p>
        </w:tc>
      </w:tr>
      <w:tr>
        <w:tblPrEx>
          <w:tblLayout w:type="fixed"/>
          <w:tblCellMar>
            <w:top w:w="15" w:type="dxa"/>
            <w:left w:w="15" w:type="dxa"/>
            <w:bottom w:w="15" w:type="dxa"/>
            <w:right w:w="15" w:type="dxa"/>
          </w:tblCellMar>
        </w:tblPrEx>
        <w:trPr>
          <w:trHeight w:val="48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rPr>
              <w:t>6</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rPr>
              <w:t>省级质量工程</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教学研究项目</w:t>
            </w: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应用型本科水利类专业结构优化调整与专业改造研究</w:t>
            </w: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鲁子爱</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重大</w:t>
            </w:r>
          </w:p>
        </w:tc>
      </w:tr>
      <w:tr>
        <w:tblPrEx>
          <w:tblLayout w:type="fixed"/>
          <w:tblCellMar>
            <w:top w:w="15" w:type="dxa"/>
            <w:left w:w="15" w:type="dxa"/>
            <w:bottom w:w="15" w:type="dxa"/>
            <w:right w:w="15" w:type="dxa"/>
          </w:tblCellMar>
        </w:tblPrEx>
        <w:trPr>
          <w:trHeight w:val="72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rPr>
              <w:t>7</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rPr>
              <w:t>省级质量工程</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教学研究项目</w:t>
            </w: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独立学院高水平双能型青年教师队伍建设、培养及评价体系构建</w:t>
            </w: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吴继敏</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重大</w:t>
            </w:r>
          </w:p>
        </w:tc>
      </w:tr>
      <w:tr>
        <w:tblPrEx>
          <w:tblLayout w:type="fixed"/>
          <w:tblCellMar>
            <w:top w:w="15" w:type="dxa"/>
            <w:left w:w="15" w:type="dxa"/>
            <w:bottom w:w="15" w:type="dxa"/>
            <w:right w:w="15" w:type="dxa"/>
          </w:tblCellMar>
        </w:tblPrEx>
        <w:trPr>
          <w:trHeight w:val="72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rPr>
              <w:t>8</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rPr>
              <w:t>省级质量工程</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教学研究项目</w:t>
            </w: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独立学院与名校学生学风和学习效率问题研究</w:t>
            </w: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姜忠鹤</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一般</w:t>
            </w:r>
          </w:p>
        </w:tc>
      </w:tr>
      <w:tr>
        <w:tblPrEx>
          <w:tblLayout w:type="fixed"/>
          <w:tblCellMar>
            <w:top w:w="15" w:type="dxa"/>
            <w:left w:w="15" w:type="dxa"/>
            <w:bottom w:w="15" w:type="dxa"/>
            <w:right w:w="15" w:type="dxa"/>
          </w:tblCellMar>
        </w:tblPrEx>
        <w:trPr>
          <w:trHeight w:val="72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rPr>
              <w:t>9</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rPr>
              <w:t>省级质量工程</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教学研究项目</w:t>
            </w: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《软件工程》应用型课程建设</w:t>
            </w: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杭婷婷</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一般</w:t>
            </w:r>
          </w:p>
        </w:tc>
      </w:tr>
      <w:tr>
        <w:tblPrEx>
          <w:tblLayout w:type="fixed"/>
          <w:tblCellMar>
            <w:top w:w="15" w:type="dxa"/>
            <w:left w:w="15" w:type="dxa"/>
            <w:bottom w:w="15" w:type="dxa"/>
            <w:right w:w="15" w:type="dxa"/>
          </w:tblCellMar>
        </w:tblPrEx>
        <w:trPr>
          <w:trHeight w:val="285"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rPr>
              <w:t>10</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rPr>
              <w:t>省级质量工程</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教学研究项目</w:t>
            </w: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数据分析方法与实务课程体系建设</w:t>
            </w: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闫杰</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一般</w:t>
            </w:r>
          </w:p>
        </w:tc>
      </w:tr>
      <w:tr>
        <w:tblPrEx>
          <w:tblLayout w:type="fixed"/>
          <w:tblCellMar>
            <w:top w:w="15" w:type="dxa"/>
            <w:left w:w="15" w:type="dxa"/>
            <w:bottom w:w="15" w:type="dxa"/>
            <w:right w:w="15" w:type="dxa"/>
          </w:tblCellMar>
        </w:tblPrEx>
        <w:trPr>
          <w:trHeight w:val="48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rPr>
              <w:t>11</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kern w:val="0"/>
                <w:sz w:val="21"/>
                <w:szCs w:val="21"/>
              </w:rPr>
              <w:t>省级质量工程</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教学研究项目</w:t>
            </w: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“双创”教育背景下地质工程专业实践教育模式探索</w:t>
            </w: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饶文波</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重点</w:t>
            </w:r>
          </w:p>
        </w:tc>
      </w:tr>
      <w:tr>
        <w:tblPrEx>
          <w:tblLayout w:type="fixed"/>
          <w:tblCellMar>
            <w:top w:w="15" w:type="dxa"/>
            <w:left w:w="15" w:type="dxa"/>
            <w:bottom w:w="15" w:type="dxa"/>
            <w:right w:w="15" w:type="dxa"/>
          </w:tblCellMar>
        </w:tblPrEx>
        <w:trPr>
          <w:trHeight w:val="48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12</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省级质量工程</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教学成果奖（竞赛类）</w:t>
            </w: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基于学生应用与创新能力培养的数学建模教学改革与实践</w:t>
            </w: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吴云标 林乐义 柳庆新 时正华 王启明</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二等奖</w:t>
            </w:r>
          </w:p>
        </w:tc>
      </w:tr>
      <w:tr>
        <w:tblPrEx>
          <w:tblLayout w:type="fixed"/>
          <w:tblCellMar>
            <w:top w:w="15" w:type="dxa"/>
            <w:left w:w="15" w:type="dxa"/>
            <w:bottom w:w="15" w:type="dxa"/>
            <w:right w:w="15" w:type="dxa"/>
          </w:tblCellMar>
        </w:tblPrEx>
        <w:trPr>
          <w:trHeight w:val="48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13</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省级质量工程</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教学成果奖（竞赛类）</w:t>
            </w: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应用型电子工程师培养模式下数字电路课程体系改革在竞赛中的应用</w:t>
            </w: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胡徐胜 王飞</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二等奖</w:t>
            </w:r>
          </w:p>
        </w:tc>
      </w:tr>
      <w:tr>
        <w:tblPrEx>
          <w:tblLayout w:type="fixed"/>
          <w:tblCellMar>
            <w:top w:w="15" w:type="dxa"/>
            <w:left w:w="15" w:type="dxa"/>
            <w:bottom w:w="15" w:type="dxa"/>
            <w:right w:w="15" w:type="dxa"/>
          </w:tblCellMar>
        </w:tblPrEx>
        <w:trPr>
          <w:trHeight w:val="48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14</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省级质量工程</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教坛新秀</w:t>
            </w: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田晓丹</w:t>
            </w: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田晓丹</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省级</w:t>
            </w:r>
          </w:p>
        </w:tc>
      </w:tr>
      <w:tr>
        <w:tblPrEx>
          <w:tblLayout w:type="fixed"/>
          <w:tblCellMar>
            <w:top w:w="15" w:type="dxa"/>
            <w:left w:w="15" w:type="dxa"/>
            <w:bottom w:w="15" w:type="dxa"/>
            <w:right w:w="15" w:type="dxa"/>
          </w:tblCellMar>
        </w:tblPrEx>
        <w:trPr>
          <w:trHeight w:val="48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15</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省级质量工程</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教学团队</w:t>
            </w: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电路电子教学团队</w:t>
            </w: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骆雅琴</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省级</w:t>
            </w:r>
          </w:p>
        </w:tc>
      </w:tr>
      <w:tr>
        <w:tblPrEx>
          <w:tblLayout w:type="fixed"/>
          <w:tblCellMar>
            <w:top w:w="15" w:type="dxa"/>
            <w:left w:w="15" w:type="dxa"/>
            <w:bottom w:w="15" w:type="dxa"/>
            <w:right w:w="15" w:type="dxa"/>
          </w:tblCellMar>
        </w:tblPrEx>
        <w:trPr>
          <w:trHeight w:val="48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16</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省级质量工程</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名师（大师）工作室</w:t>
            </w: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薛联青名师工作室</w:t>
            </w: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薛联青</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省级</w:t>
            </w:r>
          </w:p>
        </w:tc>
      </w:tr>
      <w:tr>
        <w:tblPrEx>
          <w:tblLayout w:type="fixed"/>
          <w:tblCellMar>
            <w:top w:w="15" w:type="dxa"/>
            <w:left w:w="15" w:type="dxa"/>
            <w:bottom w:w="15" w:type="dxa"/>
            <w:right w:w="15" w:type="dxa"/>
          </w:tblCellMar>
        </w:tblPrEx>
        <w:trPr>
          <w:trHeight w:val="48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17</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省级质量工程</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校企合作实践教育基地</w:t>
            </w: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河海大学文天学院安徽东海机床制造有限公司实践教育基地</w:t>
            </w: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张冬冬</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省级</w:t>
            </w:r>
          </w:p>
        </w:tc>
      </w:tr>
      <w:tr>
        <w:tblPrEx>
          <w:tblLayout w:type="fixed"/>
          <w:tblCellMar>
            <w:top w:w="15" w:type="dxa"/>
            <w:left w:w="15" w:type="dxa"/>
            <w:bottom w:w="15" w:type="dxa"/>
            <w:right w:w="15" w:type="dxa"/>
          </w:tblCellMar>
        </w:tblPrEx>
        <w:trPr>
          <w:trHeight w:val="48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18</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省级质量工程</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卓越人才教育培养计划</w:t>
            </w: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交通工程卓越工程师培养计划</w:t>
            </w: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郑长江</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省级</w:t>
            </w:r>
          </w:p>
        </w:tc>
      </w:tr>
      <w:tr>
        <w:tblPrEx>
          <w:tblLayout w:type="fixed"/>
          <w:tblCellMar>
            <w:top w:w="15" w:type="dxa"/>
            <w:left w:w="15" w:type="dxa"/>
            <w:bottom w:w="15" w:type="dxa"/>
            <w:right w:w="15" w:type="dxa"/>
          </w:tblCellMar>
        </w:tblPrEx>
        <w:trPr>
          <w:trHeight w:val="480" w:hRule="atLeast"/>
        </w:trPr>
        <w:tc>
          <w:tcPr>
            <w:tcW w:w="5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19</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省级质量工程</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大学生创客实验室建设计划</w:t>
            </w:r>
          </w:p>
        </w:tc>
        <w:tc>
          <w:tcPr>
            <w:tcW w:w="21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工程技术与艺术设计创客实验室</w:t>
            </w: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肖文</w:t>
            </w:r>
          </w:p>
        </w:tc>
        <w:tc>
          <w:tcPr>
            <w:tcW w:w="9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i w:val="0"/>
                <w:color w:val="000000"/>
                <w:kern w:val="0"/>
                <w:sz w:val="21"/>
                <w:szCs w:val="21"/>
                <w:u w:val="none"/>
                <w:lang w:val="en-US" w:eastAsia="zh-CN" w:bidi="ar"/>
              </w:rPr>
              <w:t>省级</w:t>
            </w:r>
          </w:p>
        </w:tc>
      </w:tr>
    </w:tbl>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sz w:val="32"/>
          <w:szCs w:val="32"/>
          <w:lang w:val="en-US" w:eastAsia="zh-CN"/>
        </w:rPr>
        <w:t>2016年，学院</w:t>
      </w:r>
      <w:r>
        <w:rPr>
          <w:rFonts w:hint="eastAsia" w:ascii="仿宋_GB2312" w:hAnsi="仿宋_GB2312" w:eastAsia="仿宋_GB2312" w:cs="仿宋_GB2312"/>
          <w:sz w:val="32"/>
          <w:szCs w:val="32"/>
        </w:rPr>
        <w:t>组织申报省级科研项目25项，立项6项，其中，安徽省教育厅人文社会科学研究重点项目3项，安徽省教育厅自然科学研究重点项目3项；组织申报市级科研项目1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项，立项1项市软科学项目；组织申报了校级科研项目47项，立项30项。合计发表论文130篇，其中EI论文4篇，SCI论文4篇，核心论文14篇，ISTP论文1篇，CSSCI论文1篇，CSSCD论文1篇；教材6部；论著1部；软件著作权2项，实用新型专利3项。</w:t>
      </w:r>
      <w:r>
        <w:rPr>
          <w:rFonts w:hint="eastAsia" w:ascii="仿宋_GB2312" w:hAnsi="仿宋_GB2312" w:eastAsia="仿宋_GB2312" w:cs="仿宋_GB2312"/>
          <w:sz w:val="32"/>
          <w:szCs w:val="32"/>
          <w:lang w:eastAsia="zh-CN"/>
        </w:rPr>
        <w:t>学院</w:t>
      </w:r>
      <w:r>
        <w:rPr>
          <w:rFonts w:hint="eastAsia" w:ascii="仿宋_GB2312" w:hAnsi="仿宋_GB2312" w:eastAsia="仿宋_GB2312" w:cs="仿宋_GB2312"/>
          <w:sz w:val="32"/>
          <w:szCs w:val="32"/>
          <w:lang w:val="en-US" w:eastAsia="zh-CN"/>
        </w:rPr>
        <w:t>承担技术开发2项，技术服务140项，完成咨询报告120余项，总经费合同额730万元。</w:t>
      </w:r>
    </w:p>
    <w:p>
      <w:pPr>
        <w:keepNext w:val="0"/>
        <w:keepLines w:val="0"/>
        <w:widowControl/>
        <w:suppressLineNumbers w:val="0"/>
        <w:ind w:firstLine="420" w:firstLineChars="200"/>
        <w:jc w:val="left"/>
      </w:pPr>
    </w:p>
    <w:p>
      <w:pPr>
        <w:pStyle w:val="2"/>
        <w:rPr>
          <w:sz w:val="36"/>
          <w:szCs w:val="36"/>
        </w:rPr>
      </w:pPr>
      <w:bookmarkStart w:id="29" w:name="_Toc469401117"/>
      <w:r>
        <w:rPr>
          <w:rFonts w:hint="eastAsia"/>
          <w:sz w:val="36"/>
          <w:szCs w:val="36"/>
        </w:rPr>
        <w:t>第四部分 质量保障体系</w:t>
      </w:r>
      <w:bookmarkEnd w:id="29"/>
    </w:p>
    <w:p>
      <w:pPr>
        <w:pStyle w:val="3"/>
        <w:numPr>
          <w:ilvl w:val="0"/>
          <w:numId w:val="3"/>
        </w:numPr>
        <w:rPr>
          <w:sz w:val="36"/>
          <w:szCs w:val="36"/>
        </w:rPr>
      </w:pPr>
      <w:bookmarkStart w:id="30" w:name="_Toc469401118"/>
      <w:r>
        <w:rPr>
          <w:rFonts w:hint="eastAsia"/>
          <w:sz w:val="32"/>
          <w:szCs w:val="32"/>
        </w:rPr>
        <w:t>教学中心地位</w:t>
      </w:r>
      <w:bookmarkEnd w:id="30"/>
    </w:p>
    <w:p>
      <w:pPr>
        <w:pStyle w:val="4"/>
        <w:rPr>
          <w:rFonts w:hint="eastAsia" w:asciiTheme="majorEastAsia" w:hAnsiTheme="majorEastAsia" w:eastAsiaTheme="majorEastAsia" w:cstheme="majorEastAsia"/>
          <w:sz w:val="32"/>
          <w:szCs w:val="32"/>
        </w:rPr>
      </w:pPr>
      <w:bookmarkStart w:id="31" w:name="_Toc403030009"/>
      <w:bookmarkStart w:id="32" w:name="_Toc469401119"/>
      <w:r>
        <w:rPr>
          <w:rFonts w:hint="eastAsia" w:asciiTheme="majorEastAsia" w:hAnsiTheme="majorEastAsia" w:eastAsiaTheme="majorEastAsia" w:cstheme="majorEastAsia"/>
          <w:sz w:val="32"/>
          <w:szCs w:val="32"/>
        </w:rPr>
        <w:t>1.领导重视教学</w:t>
      </w:r>
      <w:bookmarkEnd w:id="31"/>
      <w:bookmarkEnd w:id="32"/>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实施教学质量“一把手工程”。学院坚持人才培养的根本地位、教学工作的中心地位和教学质量的核心地位，院长和各教学单位负责人为教学工作第一责任人，把教学工作纳入重要议事日程。坚持召开年度教学工作会议、每月至少一次的教学工作例会，研讨和部署教学工作。各级领导坚持听课制度，深入教学一线，了解教学工作情况，及时发现、解决教学工作中存在的问题。</w:t>
      </w:r>
    </w:p>
    <w:p>
      <w:pPr>
        <w:pStyle w:val="4"/>
        <w:rPr>
          <w:rFonts w:hint="eastAsia" w:asciiTheme="majorEastAsia" w:hAnsiTheme="majorEastAsia" w:eastAsiaTheme="majorEastAsia" w:cstheme="majorEastAsia"/>
          <w:sz w:val="32"/>
          <w:szCs w:val="32"/>
        </w:rPr>
      </w:pPr>
      <w:bookmarkStart w:id="33" w:name="_Toc469401120"/>
      <w:bookmarkStart w:id="34" w:name="_Toc403030010"/>
      <w:r>
        <w:rPr>
          <w:rFonts w:hint="eastAsia" w:asciiTheme="majorEastAsia" w:hAnsiTheme="majorEastAsia" w:eastAsiaTheme="majorEastAsia" w:cstheme="majorEastAsia"/>
          <w:sz w:val="32"/>
          <w:szCs w:val="32"/>
        </w:rPr>
        <w:t>2.经费保障教学</w:t>
      </w:r>
      <w:bookmarkEnd w:id="33"/>
      <w:bookmarkEnd w:id="34"/>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学院坚持教学投入优先原则，资源配置优先向教育教学倾斜。除正常的教学经费投入外，还通过专项经费支持和资助教科研立项、学科与专业建设、课程建设、实验室建设及大学生创新实践活动，为推进教育教学改革和提高教学质量提供经费保证。</w:t>
      </w:r>
    </w:p>
    <w:p>
      <w:pPr>
        <w:pStyle w:val="4"/>
        <w:keepNext/>
        <w:keepLines/>
        <w:pageBreakBefore w:val="0"/>
        <w:widowControl w:val="0"/>
        <w:kinsoku/>
        <w:wordWrap/>
        <w:overflowPunct/>
        <w:topLinePunct w:val="0"/>
        <w:autoSpaceDE/>
        <w:autoSpaceDN/>
        <w:bidi w:val="0"/>
        <w:adjustRightInd/>
        <w:snapToGrid/>
        <w:spacing w:before="260" w:after="260" w:line="560" w:lineRule="exact"/>
        <w:ind w:left="0" w:leftChars="0" w:right="0" w:rightChars="0" w:firstLine="0" w:firstLineChars="0"/>
        <w:jc w:val="both"/>
        <w:textAlignment w:val="auto"/>
        <w:outlineLvl w:val="2"/>
        <w:rPr>
          <w:rFonts w:hint="eastAsia" w:asciiTheme="majorEastAsia" w:hAnsiTheme="majorEastAsia" w:eastAsiaTheme="majorEastAsia" w:cstheme="majorEastAsia"/>
          <w:sz w:val="32"/>
          <w:szCs w:val="32"/>
        </w:rPr>
      </w:pPr>
      <w:bookmarkStart w:id="35" w:name="_Toc469401121"/>
      <w:bookmarkStart w:id="36" w:name="_Toc403030011"/>
      <w:r>
        <w:rPr>
          <w:rFonts w:hint="eastAsia" w:asciiTheme="majorEastAsia" w:hAnsiTheme="majorEastAsia" w:eastAsiaTheme="majorEastAsia" w:cstheme="majorEastAsia"/>
          <w:sz w:val="32"/>
          <w:szCs w:val="32"/>
        </w:rPr>
        <w:t>3.管理服务教学</w:t>
      </w:r>
      <w:bookmarkEnd w:id="35"/>
      <w:bookmarkEnd w:id="36"/>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建立了岗位责任制，明确了教学管理各岗位人员的工作职责和主要教学管理环节的工作流程。牢固树立“为了教学、服务教学、服从教学”的理念。定期召开师生座谈会，听取意见和建议，不断改进工作，提高服务水平。</w:t>
      </w:r>
    </w:p>
    <w:p>
      <w:pPr>
        <w:pStyle w:val="4"/>
        <w:rPr>
          <w:rFonts w:hint="eastAsia" w:asciiTheme="majorEastAsia" w:hAnsiTheme="majorEastAsia" w:eastAsiaTheme="majorEastAsia" w:cstheme="majorEastAsia"/>
          <w:sz w:val="32"/>
          <w:szCs w:val="32"/>
        </w:rPr>
      </w:pPr>
      <w:bookmarkStart w:id="37" w:name="_Toc469401122"/>
      <w:bookmarkStart w:id="38" w:name="_Toc403030012"/>
      <w:r>
        <w:rPr>
          <w:rFonts w:hint="eastAsia" w:asciiTheme="majorEastAsia" w:hAnsiTheme="majorEastAsia" w:eastAsiaTheme="majorEastAsia" w:cstheme="majorEastAsia"/>
          <w:sz w:val="32"/>
          <w:szCs w:val="32"/>
        </w:rPr>
        <w:t>4.科研促进教学</w:t>
      </w:r>
      <w:bookmarkEnd w:id="37"/>
      <w:bookmarkEnd w:id="38"/>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学院重视科学研究对教学的促进作用，制定了科研积分奖励政策，激发教师从事科研工作的热情；鼓励教师开展应用性科学研究，并将研究成果转化为教学内容，增强教学效果；吸纳学生参与教师的教研科研课题研究，组织学生参加各类学科竞赛，培养学生的科研意识和创新精神，营造科研促进教学、反哺教学的良好氛围。</w:t>
      </w:r>
    </w:p>
    <w:p>
      <w:pPr>
        <w:pStyle w:val="3"/>
        <w:rPr>
          <w:sz w:val="32"/>
          <w:szCs w:val="32"/>
        </w:rPr>
      </w:pPr>
      <w:bookmarkStart w:id="39" w:name="_Toc469401123"/>
      <w:r>
        <w:rPr>
          <w:rFonts w:hint="eastAsia"/>
          <w:sz w:val="32"/>
          <w:szCs w:val="32"/>
        </w:rPr>
        <w:t>二、质量保障监控体系</w:t>
      </w:r>
      <w:bookmarkEnd w:id="39"/>
    </w:p>
    <w:p>
      <w:pPr>
        <w:pStyle w:val="4"/>
        <w:rPr>
          <w:rFonts w:hint="eastAsia" w:asciiTheme="majorEastAsia" w:hAnsiTheme="majorEastAsia" w:eastAsiaTheme="majorEastAsia" w:cstheme="majorEastAsia"/>
          <w:sz w:val="32"/>
          <w:szCs w:val="32"/>
        </w:rPr>
      </w:pPr>
      <w:bookmarkStart w:id="40" w:name="_Toc469401124"/>
      <w:r>
        <w:rPr>
          <w:rFonts w:hint="eastAsia" w:asciiTheme="majorEastAsia" w:hAnsiTheme="majorEastAsia" w:eastAsiaTheme="majorEastAsia" w:cstheme="majorEastAsia"/>
          <w:sz w:val="32"/>
          <w:szCs w:val="32"/>
        </w:rPr>
        <w:t>1.教学质量组织保障体系</w:t>
      </w:r>
      <w:bookmarkEnd w:id="40"/>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教学质量组织保障体系主要由学院行政、院教学工作委员会、教务</w:t>
      </w:r>
      <w:r>
        <w:rPr>
          <w:rFonts w:hint="eastAsia" w:ascii="仿宋_GB2312" w:hAnsi="仿宋_GB2312" w:eastAsia="仿宋_GB2312" w:cs="仿宋_GB2312"/>
          <w:sz w:val="32"/>
          <w:szCs w:val="32"/>
          <w:lang w:eastAsia="zh-CN"/>
        </w:rPr>
        <w:t>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院务部</w:t>
      </w:r>
      <w:r>
        <w:rPr>
          <w:rFonts w:hint="eastAsia" w:ascii="仿宋_GB2312" w:hAnsi="仿宋_GB2312" w:eastAsia="仿宋_GB2312" w:cs="仿宋_GB2312"/>
          <w:sz w:val="32"/>
          <w:szCs w:val="32"/>
        </w:rPr>
        <w:t>、各教学单位及其教学指导委员会、教学督导委员会、学生信息员等构成。教学质量组织保障体系在学院统一领导下，以学院教学指导委员会为宏观指导，以教务</w:t>
      </w:r>
      <w:r>
        <w:rPr>
          <w:rFonts w:hint="eastAsia" w:ascii="仿宋_GB2312" w:hAnsi="仿宋_GB2312" w:eastAsia="仿宋_GB2312" w:cs="仿宋_GB2312"/>
          <w:sz w:val="32"/>
          <w:szCs w:val="32"/>
          <w:lang w:eastAsia="zh-CN"/>
        </w:rPr>
        <w:t>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院务部</w:t>
      </w:r>
      <w:r>
        <w:rPr>
          <w:rFonts w:hint="eastAsia" w:ascii="仿宋_GB2312" w:hAnsi="仿宋_GB2312" w:eastAsia="仿宋_GB2312" w:cs="仿宋_GB2312"/>
          <w:sz w:val="32"/>
          <w:szCs w:val="32"/>
        </w:rPr>
        <w:t>、各教学单位及其教学指导委员会为质量监控和保障实施主体，以教学督导委员会和学生信息员为质量信息反馈主要渠道，从总体上保障教学质量管理工作的顺利进行。</w:t>
      </w:r>
    </w:p>
    <w:p>
      <w:pPr>
        <w:pStyle w:val="4"/>
        <w:rPr>
          <w:rFonts w:hint="eastAsia" w:asciiTheme="majorEastAsia" w:hAnsiTheme="majorEastAsia" w:eastAsiaTheme="majorEastAsia" w:cstheme="majorEastAsia"/>
          <w:sz w:val="32"/>
          <w:szCs w:val="32"/>
        </w:rPr>
      </w:pPr>
      <w:bookmarkStart w:id="41" w:name="_Toc469401125"/>
      <w:r>
        <w:rPr>
          <w:rFonts w:hint="eastAsia" w:asciiTheme="majorEastAsia" w:hAnsiTheme="majorEastAsia" w:eastAsiaTheme="majorEastAsia" w:cstheme="majorEastAsia"/>
          <w:sz w:val="32"/>
          <w:szCs w:val="32"/>
        </w:rPr>
        <w:t>2.教学质量标准体系</w:t>
      </w:r>
      <w:bookmarkEnd w:id="41"/>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2"/>
          <w:szCs w:val="32"/>
        </w:rPr>
        <w:t>教学质量标准是保证教学质量的前提，也是教学质量监控与评价体系的重要组成部分。教学质量标准既是教学工作的目标要求，又是质量评价的重要依据，也是教学质量管理的基础。教学质量标准体系的构建紧紧围绕人才培养目标，包括人才培养过程和人才培养要素两大类标准，具体为专业建设质量标准、人才培养方案质量标准、课程建设质量标准、教材建设质量标准，实验室建设质量标准、招生工作质量标准、课堂教学质量标准、实践（实习）教学质量标准、实验教学质量标准、课程考试（考核）质量标准、毕业论文（设计）质量标准、学生培养质量标准等。</w:t>
      </w:r>
    </w:p>
    <w:p>
      <w:pPr>
        <w:pStyle w:val="4"/>
        <w:rPr>
          <w:rFonts w:hint="eastAsia" w:asciiTheme="majorEastAsia" w:hAnsiTheme="majorEastAsia" w:eastAsiaTheme="majorEastAsia" w:cstheme="majorEastAsia"/>
          <w:sz w:val="32"/>
          <w:szCs w:val="32"/>
        </w:rPr>
      </w:pPr>
      <w:bookmarkStart w:id="42" w:name="_Toc469401126"/>
      <w:r>
        <w:rPr>
          <w:rFonts w:hint="eastAsia" w:asciiTheme="majorEastAsia" w:hAnsiTheme="majorEastAsia" w:eastAsiaTheme="majorEastAsia" w:cstheme="majorEastAsia"/>
          <w:sz w:val="32"/>
          <w:szCs w:val="32"/>
        </w:rPr>
        <w:t>3.教学质量监控与评价措施</w:t>
      </w:r>
      <w:bookmarkEnd w:id="42"/>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教学质量监控与评价措施主要是利用多渠道将教学过程各环节在教、学、管过程中的信息收集、整理、分析、评估，依据教学评价体系和各教学环节质量目标，进行专项检查和评价，使各项教学活动与教学质量目标相协调。包括领导听课、常规教学检查、督导评价、学生及学生信息员评价、教学单位评价、专业建设评价、课程建设评价、教师教学评价、课程考试评价、毕业论文（设计）评价、学生学习质量评价、毕业生就业质量评价等环节。</w:t>
      </w:r>
    </w:p>
    <w:p>
      <w:pPr>
        <w:pStyle w:val="4"/>
        <w:rPr>
          <w:rFonts w:hint="eastAsia" w:asciiTheme="majorEastAsia" w:hAnsiTheme="majorEastAsia" w:eastAsiaTheme="majorEastAsia" w:cstheme="majorEastAsia"/>
          <w:sz w:val="32"/>
          <w:szCs w:val="32"/>
        </w:rPr>
      </w:pPr>
      <w:bookmarkStart w:id="43" w:name="_Toc469401127"/>
      <w:r>
        <w:rPr>
          <w:rFonts w:hint="eastAsia" w:asciiTheme="majorEastAsia" w:hAnsiTheme="majorEastAsia" w:eastAsiaTheme="majorEastAsia" w:cstheme="majorEastAsia"/>
          <w:sz w:val="32"/>
          <w:szCs w:val="32"/>
        </w:rPr>
        <w:t>4.教学质量信息反馈和调控体系</w:t>
      </w:r>
      <w:bookmarkEnd w:id="43"/>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教学质量信息反馈与调控体系主要是根据“可持续发展”的原则，在合理评价的基础上，针对存在的问题，从管理、建设、保障三个方面健全管理体系，持续改进，不断提高教学质量。</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对于教学检查、各级领导听课、督导反馈等各种渠道收集的教学各环节工作信息，由教务</w:t>
      </w:r>
      <w:r>
        <w:rPr>
          <w:rFonts w:hint="eastAsia" w:ascii="仿宋_GB2312" w:hAnsi="仿宋_GB2312" w:eastAsia="仿宋_GB2312" w:cs="仿宋_GB2312"/>
          <w:sz w:val="32"/>
          <w:szCs w:val="32"/>
          <w:lang w:eastAsia="zh-CN"/>
        </w:rPr>
        <w:t>部</w:t>
      </w:r>
      <w:r>
        <w:rPr>
          <w:rFonts w:hint="eastAsia" w:ascii="仿宋_GB2312" w:hAnsi="仿宋_GB2312" w:eastAsia="仿宋_GB2312" w:cs="仿宋_GB2312"/>
          <w:sz w:val="32"/>
          <w:szCs w:val="32"/>
        </w:rPr>
        <w:t>及时汇总、整理和分析。以各教学环节质量标准为依据，对出现的偏差和问题，及时形成调控意见。对于涉及教学系部日常教学工作中存在的问题，教务</w:t>
      </w:r>
      <w:r>
        <w:rPr>
          <w:rFonts w:hint="eastAsia" w:ascii="仿宋_GB2312" w:hAnsi="仿宋_GB2312" w:eastAsia="仿宋_GB2312" w:cs="仿宋_GB2312"/>
          <w:sz w:val="32"/>
          <w:szCs w:val="32"/>
          <w:lang w:eastAsia="zh-CN"/>
        </w:rPr>
        <w:t>部</w:t>
      </w:r>
      <w:r>
        <w:rPr>
          <w:rFonts w:hint="eastAsia" w:ascii="仿宋_GB2312" w:hAnsi="仿宋_GB2312" w:eastAsia="仿宋_GB2312" w:cs="仿宋_GB2312"/>
          <w:sz w:val="32"/>
          <w:szCs w:val="32"/>
        </w:rPr>
        <w:t>直接进行反馈，并检查落实调控结果。对于涉及全院性及教学基本建设等问题，教务</w:t>
      </w:r>
      <w:r>
        <w:rPr>
          <w:rFonts w:hint="eastAsia" w:ascii="仿宋_GB2312" w:hAnsi="仿宋_GB2312" w:eastAsia="仿宋_GB2312" w:cs="仿宋_GB2312"/>
          <w:sz w:val="32"/>
          <w:szCs w:val="32"/>
          <w:lang w:eastAsia="zh-CN"/>
        </w:rPr>
        <w:t>部</w:t>
      </w:r>
      <w:r>
        <w:rPr>
          <w:rFonts w:hint="eastAsia" w:ascii="仿宋_GB2312" w:hAnsi="仿宋_GB2312" w:eastAsia="仿宋_GB2312" w:cs="仿宋_GB2312"/>
          <w:sz w:val="32"/>
          <w:szCs w:val="32"/>
        </w:rPr>
        <w:t>将整理的意见和分析建议以报告形式提交学院研究，形成调控意见，以校政形式发文，责成相关单位处理，并安排学院相关部门检查调控结果。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对于教学质量专项评价或评估的结果，由学院以文件形式反馈给评价对象及有关领导和部门。评价结果作为评优、奖励、晋级的重要依据，以形成有效的激励和奖惩机制。</w:t>
      </w:r>
    </w:p>
    <w:p>
      <w:pPr>
        <w:jc w:val="left"/>
        <w:rPr>
          <w:rFonts w:ascii="仿宋_GB2312" w:hAnsi="仿宋_GB2312" w:eastAsia="仿宋_GB2312" w:cs="仿宋_GB2312"/>
          <w:b/>
          <w:bCs/>
          <w:sz w:val="32"/>
          <w:szCs w:val="32"/>
        </w:rPr>
      </w:pPr>
    </w:p>
    <w:p>
      <w:pPr>
        <w:jc w:val="left"/>
        <w:rPr>
          <w:rFonts w:ascii="仿宋_GB2312" w:hAnsi="仿宋_GB2312" w:eastAsia="仿宋_GB2312" w:cs="仿宋_GB2312"/>
          <w:sz w:val="32"/>
          <w:szCs w:val="32"/>
        </w:rPr>
      </w:pPr>
    </w:p>
    <w:p>
      <w:pPr>
        <w:jc w:val="left"/>
        <w:rPr>
          <w:rFonts w:ascii="仿宋_GB2312" w:hAnsi="仿宋_GB2312" w:eastAsia="仿宋_GB2312" w:cs="仿宋_GB2312"/>
          <w:b/>
          <w:bCs/>
          <w:sz w:val="32"/>
          <w:szCs w:val="32"/>
        </w:rPr>
      </w:pPr>
    </w:p>
    <w:p>
      <w:pPr>
        <w:jc w:val="left"/>
        <w:rPr>
          <w:rFonts w:ascii="仿宋_GB2312" w:hAnsi="仿宋_GB2312" w:eastAsia="仿宋_GB2312" w:cs="仿宋_GB2312"/>
          <w:sz w:val="32"/>
          <w:szCs w:val="32"/>
        </w:rPr>
      </w:pPr>
    </w:p>
    <w:p>
      <w:pPr>
        <w:jc w:val="left"/>
        <w:rPr>
          <w:rFonts w:ascii="仿宋_GB2312" w:hAnsi="仿宋_GB2312" w:eastAsia="仿宋_GB2312" w:cs="仿宋_GB2312"/>
          <w:b/>
          <w:bCs/>
          <w:sz w:val="32"/>
          <w:szCs w:val="32"/>
        </w:rPr>
      </w:pPr>
    </w:p>
    <w:p/>
    <w:p>
      <w:pPr>
        <w:pStyle w:val="2"/>
        <w:sectPr>
          <w:pgSz w:w="11906" w:h="16838"/>
          <w:pgMar w:top="1440" w:right="1800" w:bottom="1440" w:left="1800" w:header="851" w:footer="992" w:gutter="0"/>
          <w:cols w:space="425" w:num="1"/>
          <w:docGrid w:type="lines" w:linePitch="312" w:charSpace="0"/>
        </w:sectPr>
      </w:pPr>
    </w:p>
    <w:p>
      <w:pPr>
        <w:pStyle w:val="2"/>
        <w:rPr>
          <w:sz w:val="36"/>
          <w:szCs w:val="36"/>
        </w:rPr>
      </w:pPr>
      <w:bookmarkStart w:id="44" w:name="_Toc469401128"/>
      <w:r>
        <w:rPr>
          <w:rFonts w:hint="eastAsia"/>
          <w:sz w:val="36"/>
          <w:szCs w:val="36"/>
        </w:rPr>
        <w:t>第五部分</w:t>
      </w:r>
      <w:r>
        <w:rPr>
          <w:rFonts w:hint="eastAsia"/>
          <w:sz w:val="36"/>
          <w:szCs w:val="36"/>
          <w:lang w:val="en-US" w:eastAsia="zh-CN"/>
        </w:rPr>
        <w:t xml:space="preserve"> </w:t>
      </w:r>
      <w:r>
        <w:rPr>
          <w:rFonts w:hint="eastAsia"/>
          <w:sz w:val="36"/>
          <w:szCs w:val="36"/>
        </w:rPr>
        <w:t>学生学习效果</w:t>
      </w:r>
      <w:bookmarkEnd w:id="44"/>
    </w:p>
    <w:p>
      <w:pPr>
        <w:pStyle w:val="3"/>
        <w:rPr>
          <w:sz w:val="32"/>
          <w:szCs w:val="32"/>
        </w:rPr>
      </w:pPr>
      <w:bookmarkStart w:id="45" w:name="_Toc469401129"/>
      <w:r>
        <w:rPr>
          <w:rFonts w:hint="eastAsia"/>
          <w:sz w:val="32"/>
          <w:szCs w:val="32"/>
        </w:rPr>
        <w:t>一、应届毕业生毕业和学位授予情况</w:t>
      </w:r>
      <w:bookmarkEnd w:id="45"/>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年共有应届毕业生29</w:t>
      </w:r>
      <w:r>
        <w:rPr>
          <w:rFonts w:hint="eastAsia" w:ascii="仿宋_GB2312" w:hAnsi="仿宋_GB2312" w:eastAsia="仿宋_GB2312" w:cs="仿宋_GB2312"/>
          <w:sz w:val="32"/>
          <w:szCs w:val="32"/>
          <w:lang w:val="en-US" w:eastAsia="zh-CN"/>
        </w:rPr>
        <w:t>40</w:t>
      </w:r>
      <w:r>
        <w:rPr>
          <w:rFonts w:hint="eastAsia" w:ascii="仿宋_GB2312" w:hAnsi="仿宋_GB2312" w:eastAsia="仿宋_GB2312" w:cs="仿宋_GB2312"/>
          <w:sz w:val="32"/>
          <w:szCs w:val="32"/>
        </w:rPr>
        <w:t>人，结业</w:t>
      </w:r>
      <w:r>
        <w:rPr>
          <w:rFonts w:hint="eastAsia" w:ascii="仿宋_GB2312" w:hAnsi="仿宋_GB2312" w:eastAsia="仿宋_GB2312" w:cs="仿宋_GB2312"/>
          <w:sz w:val="32"/>
          <w:szCs w:val="32"/>
          <w:lang w:val="en-US" w:eastAsia="zh-CN"/>
        </w:rPr>
        <w:t>36</w:t>
      </w:r>
      <w:r>
        <w:rPr>
          <w:rFonts w:hint="eastAsia" w:ascii="仿宋_GB2312" w:hAnsi="仿宋_GB2312" w:eastAsia="仿宋_GB2312" w:cs="仿宋_GB2312"/>
          <w:sz w:val="32"/>
          <w:szCs w:val="32"/>
        </w:rPr>
        <w:t>人，毕业率达9</w:t>
      </w:r>
      <w:r>
        <w:rPr>
          <w:rFonts w:hint="eastAsia" w:ascii="仿宋_GB2312" w:hAnsi="仿宋_GB2312" w:eastAsia="仿宋_GB2312" w:cs="仿宋_GB2312"/>
          <w:sz w:val="32"/>
          <w:szCs w:val="32"/>
          <w:lang w:val="en-US" w:eastAsia="zh-CN"/>
        </w:rPr>
        <w:t>8.78</w:t>
      </w:r>
      <w:r>
        <w:rPr>
          <w:rFonts w:hint="eastAsia" w:ascii="仿宋_GB2312" w:hAnsi="仿宋_GB2312" w:eastAsia="仿宋_GB2312" w:cs="仿宋_GB2312"/>
          <w:sz w:val="32"/>
          <w:szCs w:val="32"/>
        </w:rPr>
        <w:t>%。获得学士学位人数为28</w:t>
      </w:r>
      <w:r>
        <w:rPr>
          <w:rFonts w:hint="eastAsia" w:ascii="仿宋_GB2312" w:hAnsi="仿宋_GB2312" w:eastAsia="仿宋_GB2312" w:cs="仿宋_GB2312"/>
          <w:sz w:val="32"/>
          <w:szCs w:val="32"/>
          <w:lang w:val="en-US" w:eastAsia="zh-CN"/>
        </w:rPr>
        <w:t>67</w:t>
      </w:r>
      <w:r>
        <w:rPr>
          <w:rFonts w:hint="eastAsia" w:ascii="仿宋_GB2312" w:hAnsi="仿宋_GB2312" w:eastAsia="仿宋_GB2312" w:cs="仿宋_GB2312"/>
          <w:sz w:val="32"/>
          <w:szCs w:val="32"/>
        </w:rPr>
        <w:t>人，学位授予率97.</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2%。</w:t>
      </w:r>
    </w:p>
    <w:p>
      <w:pPr>
        <w:pStyle w:val="3"/>
        <w:numPr>
          <w:ilvl w:val="0"/>
          <w:numId w:val="3"/>
        </w:numPr>
        <w:rPr>
          <w:sz w:val="32"/>
          <w:szCs w:val="32"/>
        </w:rPr>
      </w:pPr>
      <w:bookmarkStart w:id="46" w:name="_Toc469401130"/>
      <w:r>
        <w:rPr>
          <w:rFonts w:hint="eastAsia"/>
          <w:sz w:val="32"/>
          <w:szCs w:val="32"/>
        </w:rPr>
        <w:t>应届毕业生就业基本情况</w:t>
      </w:r>
      <w:bookmarkEnd w:id="46"/>
    </w:p>
    <w:p>
      <w:pPr>
        <w:keepNext w:val="0"/>
        <w:keepLines w:val="0"/>
        <w:pageBreakBefore w:val="0"/>
        <w:widowControl w:val="0"/>
        <w:kinsoku/>
        <w:wordWrap/>
        <w:overflowPunct/>
        <w:topLinePunct w:val="0"/>
        <w:autoSpaceDE/>
        <w:autoSpaceDN/>
        <w:bidi w:val="0"/>
        <w:adjustRightInd/>
        <w:snapToGrid/>
        <w:spacing w:line="560" w:lineRule="atLeast"/>
        <w:ind w:left="0" w:leftChars="0" w:right="0" w:rightChars="0" w:firstLine="643" w:firstLineChars="201"/>
        <w:jc w:val="both"/>
        <w:textAlignment w:val="auto"/>
        <w:outlineLvl w:val="9"/>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截止2017年8月31日，2940名毕业生中，已就业学生 27</w:t>
      </w:r>
      <w:r>
        <w:rPr>
          <w:rFonts w:hint="eastAsia" w:ascii="仿宋_GB2312" w:hAnsi="仿宋_GB2312" w:eastAsia="仿宋_GB2312" w:cs="仿宋_GB2312"/>
          <w:color w:val="auto"/>
          <w:sz w:val="32"/>
          <w:szCs w:val="32"/>
          <w:lang w:val="en-US" w:eastAsia="zh-CN"/>
        </w:rPr>
        <w:t>83</w:t>
      </w:r>
      <w:r>
        <w:rPr>
          <w:rFonts w:hint="eastAsia" w:ascii="仿宋_GB2312" w:hAnsi="仿宋_GB2312" w:eastAsia="仿宋_GB2312" w:cs="仿宋_GB2312"/>
          <w:color w:val="auto"/>
          <w:sz w:val="32"/>
          <w:szCs w:val="32"/>
        </w:rPr>
        <w:t xml:space="preserve"> 人，就业率为94.66%</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其中签订协议书就业2330人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考研升学（含出国） 322人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升学率达10.9%</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未就业毕业生157人，占毕业生总数的5.3%。</w:t>
      </w:r>
    </w:p>
    <w:p>
      <w:pPr>
        <w:pStyle w:val="3"/>
        <w:rPr>
          <w:sz w:val="32"/>
          <w:szCs w:val="32"/>
        </w:rPr>
      </w:pPr>
      <w:bookmarkStart w:id="47" w:name="_Toc469401131"/>
      <w:r>
        <w:rPr>
          <w:rFonts w:hint="eastAsia"/>
          <w:sz w:val="32"/>
          <w:szCs w:val="32"/>
        </w:rPr>
        <w:t>三、学习效果</w:t>
      </w:r>
      <w:bookmarkEnd w:id="47"/>
    </w:p>
    <w:p>
      <w:pPr>
        <w:pStyle w:val="4"/>
        <w:rPr>
          <w:rFonts w:hint="eastAsia" w:asciiTheme="majorEastAsia" w:hAnsiTheme="majorEastAsia" w:eastAsiaTheme="majorEastAsia" w:cstheme="majorEastAsia"/>
          <w:sz w:val="32"/>
          <w:szCs w:val="32"/>
        </w:rPr>
      </w:pPr>
      <w:bookmarkStart w:id="48" w:name="_Toc469401132"/>
      <w:r>
        <w:rPr>
          <w:rFonts w:hint="eastAsia" w:asciiTheme="majorEastAsia" w:hAnsiTheme="majorEastAsia" w:eastAsiaTheme="majorEastAsia" w:cstheme="majorEastAsia"/>
          <w:sz w:val="32"/>
          <w:szCs w:val="32"/>
        </w:rPr>
        <w:t>1.竞赛获奖</w:t>
      </w:r>
      <w:bookmarkEnd w:id="48"/>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sz w:val="32"/>
          <w:szCs w:val="32"/>
        </w:rPr>
      </w:pPr>
      <w:bookmarkStart w:id="49" w:name="_Toc9377"/>
      <w:bookmarkStart w:id="50" w:name="_Toc11796"/>
      <w:bookmarkStart w:id="51" w:name="_Toc31545"/>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32"/>
          <w:szCs w:val="32"/>
        </w:rPr>
        <w:t>本院学生在全国大学生电子设计大赛、大学生水利创新设计大赛、全国周培源大学生力学竞赛、“恩智浦”杯智能汽车竞赛、大学生机械创新设计大赛等具有较大影响的课外科技及学科竞赛活动中，取得了优异的成绩，共获得省部级以上奖项200项，获奖学生591人次，获奖指导教师331人次。</w:t>
      </w:r>
      <w:bookmarkEnd w:id="49"/>
      <w:bookmarkEnd w:id="50"/>
      <w:bookmarkEnd w:id="51"/>
    </w:p>
    <w:p>
      <w:pPr>
        <w:pStyle w:val="4"/>
        <w:rPr>
          <w:rFonts w:hint="eastAsia" w:asciiTheme="majorEastAsia" w:hAnsiTheme="majorEastAsia" w:eastAsiaTheme="majorEastAsia" w:cstheme="majorEastAsia"/>
          <w:b w:val="0"/>
          <w:bCs w:val="0"/>
          <w:sz w:val="32"/>
          <w:szCs w:val="32"/>
        </w:rPr>
      </w:pPr>
      <w:bookmarkStart w:id="52" w:name="_Toc469401133"/>
      <w:r>
        <w:rPr>
          <w:rFonts w:hint="eastAsia" w:asciiTheme="majorEastAsia" w:hAnsiTheme="majorEastAsia" w:eastAsiaTheme="majorEastAsia" w:cstheme="majorEastAsia"/>
          <w:sz w:val="32"/>
          <w:szCs w:val="32"/>
        </w:rPr>
        <w:t>2.体测</w:t>
      </w:r>
      <w:bookmarkEnd w:id="52"/>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32"/>
          <w:szCs w:val="32"/>
        </w:rPr>
        <w:t xml:space="preserve"> 201</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年，学院参加体质测试的学生115</w:t>
      </w:r>
      <w:r>
        <w:rPr>
          <w:rFonts w:hint="eastAsia" w:ascii="仿宋_GB2312" w:hAnsi="仿宋_GB2312" w:eastAsia="仿宋_GB2312" w:cs="仿宋_GB2312"/>
          <w:sz w:val="32"/>
          <w:szCs w:val="32"/>
          <w:lang w:val="en-US" w:eastAsia="zh-CN"/>
        </w:rPr>
        <w:t>78</w:t>
      </w:r>
      <w:r>
        <w:rPr>
          <w:rFonts w:hint="eastAsia" w:ascii="仿宋_GB2312" w:hAnsi="仿宋_GB2312" w:eastAsia="仿宋_GB2312" w:cs="仿宋_GB2312"/>
          <w:sz w:val="32"/>
          <w:szCs w:val="32"/>
        </w:rPr>
        <w:t>人，达标9</w:t>
      </w:r>
      <w:r>
        <w:rPr>
          <w:rFonts w:hint="eastAsia" w:ascii="仿宋_GB2312" w:hAnsi="仿宋_GB2312" w:eastAsia="仿宋_GB2312" w:cs="仿宋_GB2312"/>
          <w:sz w:val="32"/>
          <w:szCs w:val="32"/>
          <w:lang w:val="en-US" w:eastAsia="zh-CN"/>
        </w:rPr>
        <w:t>497</w:t>
      </w:r>
      <w:r>
        <w:rPr>
          <w:rFonts w:hint="eastAsia" w:ascii="仿宋_GB2312" w:hAnsi="仿宋_GB2312" w:eastAsia="仿宋_GB2312" w:cs="仿宋_GB2312"/>
          <w:sz w:val="32"/>
          <w:szCs w:val="32"/>
        </w:rPr>
        <w:t>人，体质测试达标率8</w:t>
      </w:r>
      <w:r>
        <w:rPr>
          <w:rFonts w:hint="eastAsia" w:ascii="仿宋_GB2312" w:hAnsi="仿宋_GB2312" w:eastAsia="仿宋_GB2312" w:cs="仿宋_GB2312"/>
          <w:sz w:val="32"/>
          <w:szCs w:val="32"/>
          <w:lang w:val="en-US" w:eastAsia="zh-CN"/>
        </w:rPr>
        <w:t>2.03</w:t>
      </w:r>
      <w:r>
        <w:rPr>
          <w:rFonts w:hint="eastAsia" w:ascii="仿宋_GB2312" w:hAnsi="仿宋_GB2312" w:eastAsia="仿宋_GB2312" w:cs="仿宋_GB2312"/>
          <w:sz w:val="32"/>
          <w:szCs w:val="32"/>
        </w:rPr>
        <w:t>%。</w:t>
      </w:r>
    </w:p>
    <w:p>
      <w:pPr>
        <w:pStyle w:val="4"/>
        <w:rPr>
          <w:rFonts w:hint="eastAsia" w:asciiTheme="majorEastAsia" w:hAnsiTheme="majorEastAsia" w:eastAsiaTheme="majorEastAsia" w:cstheme="majorEastAsia"/>
          <w:sz w:val="32"/>
          <w:szCs w:val="32"/>
        </w:rPr>
      </w:pPr>
      <w:bookmarkStart w:id="53" w:name="_Toc469401134"/>
      <w:r>
        <w:rPr>
          <w:rFonts w:hint="eastAsia" w:asciiTheme="majorEastAsia" w:hAnsiTheme="majorEastAsia" w:eastAsiaTheme="majorEastAsia" w:cstheme="majorEastAsia"/>
          <w:sz w:val="32"/>
          <w:szCs w:val="32"/>
        </w:rPr>
        <w:t>3.专利</w:t>
      </w:r>
      <w:bookmarkEnd w:id="53"/>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3" w:firstLineChars="201"/>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学院构建以提高学生创新能力为目标，以大学生专利培训为抓手，以“五小创竞赛”，安徽省教育厅、科技厅等主办的“安徽省大学生双百赛”、挑战杯等为推进机制，逐步完善大学生科技创新教育体系。</w:t>
      </w:r>
      <w:r>
        <w:rPr>
          <w:rFonts w:hint="eastAsia" w:ascii="仿宋_GB2312" w:hAnsi="仿宋_GB2312" w:eastAsia="仿宋_GB2312" w:cs="仿宋_GB2312"/>
          <w:sz w:val="32"/>
          <w:szCs w:val="32"/>
          <w:lang w:val="en-US" w:eastAsia="zh-CN"/>
        </w:rPr>
        <w:t>2016年，</w:t>
      </w:r>
      <w:r>
        <w:rPr>
          <w:rFonts w:hint="eastAsia" w:ascii="仿宋_GB2312" w:hAnsi="仿宋_GB2312" w:eastAsia="仿宋_GB2312" w:cs="仿宋_GB2312"/>
          <w:sz w:val="32"/>
          <w:szCs w:val="32"/>
          <w:lang w:eastAsia="zh-CN"/>
        </w:rPr>
        <w:t>教师共获得专利</w:t>
      </w:r>
      <w:r>
        <w:rPr>
          <w:rFonts w:hint="eastAsia" w:ascii="仿宋_GB2312" w:hAnsi="仿宋_GB2312" w:eastAsia="仿宋_GB2312" w:cs="仿宋_GB2312"/>
          <w:sz w:val="32"/>
          <w:szCs w:val="32"/>
          <w:lang w:val="en-US" w:eastAsia="zh-CN"/>
        </w:rPr>
        <w:t>5项，</w:t>
      </w:r>
      <w:r>
        <w:rPr>
          <w:rFonts w:hint="eastAsia" w:ascii="仿宋_GB2312" w:hAnsi="仿宋_GB2312" w:eastAsia="仿宋_GB2312" w:cs="仿宋_GB2312"/>
          <w:sz w:val="32"/>
          <w:szCs w:val="32"/>
        </w:rPr>
        <w:t>学生共获得专利</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项。</w:t>
      </w:r>
    </w:p>
    <w:p>
      <w:pPr>
        <w:pStyle w:val="4"/>
        <w:rPr>
          <w:rFonts w:hint="eastAsia" w:asciiTheme="majorEastAsia" w:hAnsiTheme="majorEastAsia" w:eastAsiaTheme="majorEastAsia" w:cstheme="majorEastAsia"/>
          <w:sz w:val="32"/>
          <w:szCs w:val="32"/>
        </w:rPr>
      </w:pPr>
      <w:bookmarkStart w:id="54" w:name="_Toc469401135"/>
      <w:r>
        <w:rPr>
          <w:rFonts w:hint="eastAsia" w:asciiTheme="majorEastAsia" w:hAnsiTheme="majorEastAsia" w:eastAsiaTheme="majorEastAsia" w:cstheme="majorEastAsia"/>
          <w:sz w:val="32"/>
          <w:szCs w:val="32"/>
        </w:rPr>
        <w:t>4.用人单位满意度</w:t>
      </w:r>
      <w:bookmarkEnd w:id="54"/>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43" w:firstLineChars="201"/>
        <w:jc w:val="left"/>
        <w:textAlignment w:val="auto"/>
        <w:outlineLvl w:val="9"/>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学院对2017届2774名</w:t>
      </w:r>
      <w:r>
        <w:rPr>
          <w:rFonts w:hint="eastAsia" w:ascii="仿宋_GB2312" w:hAnsi="仿宋_GB2312" w:eastAsia="仿宋_GB2312" w:cs="仿宋_GB2312"/>
          <w:color w:val="auto"/>
          <w:sz w:val="32"/>
          <w:szCs w:val="32"/>
          <w:lang w:eastAsia="zh-CN"/>
        </w:rPr>
        <w:t>毕业生</w:t>
      </w:r>
      <w:r>
        <w:rPr>
          <w:rFonts w:hint="eastAsia" w:ascii="仿宋_GB2312" w:hAnsi="仿宋_GB2312" w:eastAsia="仿宋_GB2312" w:cs="仿宋_GB2312"/>
          <w:color w:val="auto"/>
          <w:sz w:val="32"/>
          <w:szCs w:val="32"/>
        </w:rPr>
        <w:t>全面进行调研 ，共回收有效问卷2061份，回收率达74.2%，同时对毕业生所在的用人单位通过电子邮件和电话回访进行调研，共回收有效问卷564份。</w:t>
      </w:r>
      <w:r>
        <w:rPr>
          <w:rFonts w:hint="eastAsia" w:ascii="仿宋_GB2312" w:hAnsi="仿宋_GB2312" w:eastAsia="仿宋_GB2312" w:cs="仿宋_GB2312"/>
          <w:color w:val="auto"/>
          <w:sz w:val="32"/>
          <w:szCs w:val="32"/>
          <w:lang w:val="en-US" w:eastAsia="zh-CN"/>
        </w:rPr>
        <w:t>94</w:t>
      </w:r>
      <w:r>
        <w:rPr>
          <w:rFonts w:hint="eastAsia" w:ascii="仿宋_GB2312" w:hAnsi="仿宋_GB2312" w:eastAsia="仿宋_GB2312" w:cs="仿宋_GB2312"/>
          <w:color w:val="auto"/>
          <w:sz w:val="32"/>
          <w:szCs w:val="32"/>
        </w:rPr>
        <w:t>%的用人单位</w:t>
      </w:r>
      <w:r>
        <w:rPr>
          <w:rFonts w:hint="eastAsia" w:ascii="仿宋_GB2312" w:hAnsi="仿宋_GB2312" w:eastAsia="仿宋_GB2312" w:cs="仿宋_GB2312"/>
          <w:color w:val="auto"/>
          <w:sz w:val="32"/>
          <w:szCs w:val="32"/>
          <w:lang w:eastAsia="zh-CN"/>
        </w:rPr>
        <w:t>认为</w:t>
      </w:r>
      <w:r>
        <w:rPr>
          <w:rFonts w:hint="eastAsia" w:ascii="仿宋_GB2312" w:hAnsi="仿宋_GB2312" w:eastAsia="仿宋_GB2312" w:cs="仿宋_GB2312"/>
          <w:color w:val="auto"/>
          <w:sz w:val="32"/>
          <w:szCs w:val="32"/>
        </w:rPr>
        <w:t>我院毕业生的培养质量</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rPr>
        <w:t>较好</w:t>
      </w:r>
      <w:r>
        <w:rPr>
          <w:rFonts w:hint="eastAsia" w:ascii="仿宋_GB2312" w:hAnsi="仿宋_GB2312" w:eastAsia="仿宋_GB2312" w:cs="仿宋_GB2312"/>
          <w:color w:val="auto"/>
          <w:sz w:val="32"/>
          <w:szCs w:val="32"/>
          <w:lang w:eastAsia="zh-CN"/>
        </w:rPr>
        <w:t>以上</w:t>
      </w:r>
      <w:r>
        <w:rPr>
          <w:rFonts w:hint="eastAsia" w:ascii="仿宋_GB2312" w:hAnsi="仿宋_GB2312" w:eastAsia="仿宋_GB2312" w:cs="仿宋_GB2312"/>
          <w:color w:val="auto"/>
          <w:sz w:val="32"/>
          <w:szCs w:val="32"/>
        </w:rPr>
        <w:t>，52%的用人单位认为我院毕业生的培养质量非常好。</w:t>
      </w:r>
    </w:p>
    <w:p>
      <w:pPr>
        <w:widowControl/>
        <w:ind w:firstLine="646" w:firstLineChars="202"/>
        <w:jc w:val="left"/>
        <w:rPr>
          <w:rFonts w:ascii="仿宋_GB2312" w:hAnsi="仿宋_GB2312" w:eastAsia="仿宋_GB2312" w:cs="仿宋_GB2312"/>
          <w:color w:val="FF0000"/>
          <w:sz w:val="32"/>
          <w:szCs w:val="32"/>
        </w:rPr>
      </w:pPr>
    </w:p>
    <w:p>
      <w:pPr>
        <w:rPr>
          <w:rFonts w:ascii="仿宋_GB2312" w:hAnsi="仿宋_GB2312" w:eastAsia="仿宋_GB2312" w:cs="仿宋_GB2312"/>
          <w:sz w:val="28"/>
          <w:szCs w:val="28"/>
        </w:rPr>
      </w:pPr>
    </w:p>
    <w:p/>
    <w:p>
      <w:pPr>
        <w:pStyle w:val="2"/>
        <w:sectPr>
          <w:pgSz w:w="11906" w:h="16838"/>
          <w:pgMar w:top="1440" w:right="1800" w:bottom="1440" w:left="1800" w:header="851" w:footer="992" w:gutter="0"/>
          <w:cols w:space="425" w:num="1"/>
          <w:docGrid w:type="lines" w:linePitch="312" w:charSpace="0"/>
        </w:sectPr>
      </w:pPr>
    </w:p>
    <w:p>
      <w:pPr>
        <w:pStyle w:val="2"/>
        <w:rPr>
          <w:sz w:val="36"/>
          <w:szCs w:val="36"/>
        </w:rPr>
      </w:pPr>
      <w:bookmarkStart w:id="55" w:name="_Toc469401136"/>
      <w:r>
        <w:rPr>
          <w:rFonts w:hint="eastAsia"/>
          <w:sz w:val="36"/>
          <w:szCs w:val="36"/>
        </w:rPr>
        <w:t>第六部分</w:t>
      </w:r>
      <w:r>
        <w:rPr>
          <w:rFonts w:hint="eastAsia"/>
          <w:sz w:val="36"/>
          <w:szCs w:val="36"/>
          <w:lang w:val="en-US" w:eastAsia="zh-CN"/>
        </w:rPr>
        <w:t xml:space="preserve"> </w:t>
      </w:r>
      <w:r>
        <w:rPr>
          <w:rFonts w:hint="eastAsia"/>
          <w:sz w:val="36"/>
          <w:szCs w:val="36"/>
        </w:rPr>
        <w:t>办学特色培育</w:t>
      </w:r>
      <w:bookmarkEnd w:id="55"/>
    </w:p>
    <w:p>
      <w:pPr>
        <w:pStyle w:val="3"/>
        <w:numPr>
          <w:ilvl w:val="0"/>
          <w:numId w:val="4"/>
        </w:numPr>
        <w:rPr>
          <w:sz w:val="32"/>
          <w:szCs w:val="32"/>
        </w:rPr>
      </w:pPr>
      <w:bookmarkStart w:id="56" w:name="_Toc469401137"/>
      <w:r>
        <w:rPr>
          <w:rFonts w:hint="eastAsia"/>
          <w:sz w:val="32"/>
          <w:szCs w:val="32"/>
        </w:rPr>
        <w:t>以工为主、以水利为特色的应用型专业结构</w:t>
      </w:r>
      <w:bookmarkEnd w:id="56"/>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806" w:firstLineChars="252"/>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以工为主——学院本着为地方社会经济建设服务的原则，在对地方经济建设的支柱产业、重点产业、新兴产业进行调研的基础上，开设社会急需的新专业，为地方经济建设和社会发展提供支撑。目前学院29个本科专业中，全部为应用学科专业，涵盖了安徽省八大支柱产业中的汽车、装备、信息电子、能源和煤化等产业，与地方产业的未来发展保持着高度关联性。</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6" w:firstLineChars="202"/>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特色发展——学院依托河海大学优势专业，以水利为特色，开设了港口航道与海岸工程、水务工程、水文与水资源工程、水利水电工程等涉水专业。其中，港口航道与海岸工程专业填补了在安徽省的空白，水务工程、水文与水资源工程、水利水电工程等专业在安徽省内也仅有少数高校开设。</w:t>
      </w:r>
    </w:p>
    <w:p>
      <w:pPr>
        <w:pStyle w:val="3"/>
        <w:rPr>
          <w:sz w:val="32"/>
          <w:szCs w:val="32"/>
        </w:rPr>
      </w:pPr>
      <w:bookmarkStart w:id="57" w:name="_Toc469401138"/>
      <w:r>
        <w:rPr>
          <w:rFonts w:hint="eastAsia"/>
          <w:sz w:val="32"/>
          <w:szCs w:val="32"/>
        </w:rPr>
        <w:t>二、强化校企合作，提高应用型人才培养质量</w:t>
      </w:r>
      <w:bookmarkEnd w:id="57"/>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水利工程系</w:t>
      </w:r>
      <w:r>
        <w:rPr>
          <w:rFonts w:hint="eastAsia" w:ascii="仿宋_GB2312" w:hAnsi="仿宋_GB2312" w:eastAsia="仿宋_GB2312" w:cs="仿宋_GB2312"/>
          <w:sz w:val="32"/>
          <w:szCs w:val="32"/>
          <w:lang w:eastAsia="zh-CN"/>
        </w:rPr>
        <w:t>增加了岳西县水利局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安徽</w:t>
      </w:r>
      <w:r>
        <w:rPr>
          <w:rFonts w:hint="eastAsia" w:ascii="仿宋_GB2312" w:hAnsi="仿宋_GB2312" w:eastAsia="仿宋_GB2312" w:cs="仿宋_GB2312"/>
          <w:sz w:val="32"/>
          <w:szCs w:val="32"/>
        </w:rPr>
        <w:t>绩溪抽水蓄能</w:t>
      </w:r>
      <w:r>
        <w:rPr>
          <w:rFonts w:hint="eastAsia" w:ascii="仿宋_GB2312" w:hAnsi="仿宋_GB2312" w:eastAsia="仿宋_GB2312" w:cs="仿宋_GB2312"/>
          <w:sz w:val="32"/>
          <w:szCs w:val="32"/>
          <w:lang w:eastAsia="zh-CN"/>
        </w:rPr>
        <w:t>有限公司</w:t>
      </w:r>
      <w:r>
        <w:rPr>
          <w:rFonts w:hint="eastAsia" w:ascii="仿宋_GB2312" w:hAnsi="仿宋_GB2312" w:eastAsia="仿宋_GB2312" w:cs="仿宋_GB2312"/>
          <w:sz w:val="32"/>
          <w:szCs w:val="32"/>
        </w:rPr>
        <w:t>等教学实践基地。续聘和新增了安徽省长江河道管理局、安徽疏浚股份有限公司</w:t>
      </w:r>
      <w:r>
        <w:rPr>
          <w:rFonts w:hint="eastAsia" w:ascii="仿宋_GB2312" w:hAnsi="仿宋_GB2312" w:eastAsia="仿宋_GB2312" w:cs="仿宋_GB2312"/>
          <w:sz w:val="32"/>
          <w:szCs w:val="32"/>
          <w:lang w:eastAsia="zh-CN"/>
        </w:rPr>
        <w:t>、马鞍山港口集团、江苏河海工程建设监理公司</w:t>
      </w:r>
      <w:r>
        <w:rPr>
          <w:rFonts w:hint="eastAsia" w:ascii="仿宋_GB2312" w:hAnsi="仿宋_GB2312" w:eastAsia="仿宋_GB2312" w:cs="仿宋_GB2312"/>
          <w:sz w:val="32"/>
          <w:szCs w:val="32"/>
        </w:rPr>
        <w:t>等多家单位的高级工程师为我院客座教授，为学生的认识实习、生产实习、毕业设计、专题报告等实践环节提供条件并进行指导。促进学生到实习基地完成工程实例的毕业设计。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6" w:firstLineChars="202"/>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土木工程系不断加强与马鞍山市重点工程建设管理局、马鞍山市</w:t>
      </w:r>
      <w:r>
        <w:rPr>
          <w:rFonts w:hint="eastAsia" w:ascii="仿宋_GB2312" w:hAnsi="仿宋_GB2312" w:eastAsia="仿宋_GB2312" w:cs="仿宋_GB2312"/>
          <w:sz w:val="32"/>
          <w:szCs w:val="32"/>
          <w:lang w:eastAsia="zh-CN"/>
        </w:rPr>
        <w:t>市政管理处</w:t>
      </w:r>
      <w:r>
        <w:rPr>
          <w:rFonts w:hint="eastAsia" w:ascii="仿宋_GB2312" w:hAnsi="仿宋_GB2312" w:eastAsia="仿宋_GB2312" w:cs="仿宋_GB2312"/>
          <w:sz w:val="32"/>
          <w:szCs w:val="32"/>
        </w:rPr>
        <w:t>、马鞍山江南工程咨询公司等实习基地的合作，建立校企联合工程实践教学基地。选送到重点局</w:t>
      </w:r>
      <w:r>
        <w:rPr>
          <w:rFonts w:hint="eastAsia" w:ascii="仿宋_GB2312" w:hAnsi="仿宋_GB2312" w:eastAsia="仿宋_GB2312" w:cs="仿宋_GB2312"/>
          <w:sz w:val="32"/>
          <w:szCs w:val="32"/>
          <w:lang w:eastAsia="zh-CN"/>
        </w:rPr>
        <w:t>等实习单位的</w:t>
      </w:r>
      <w:r>
        <w:rPr>
          <w:rFonts w:hint="eastAsia" w:ascii="仿宋_GB2312" w:hAnsi="仿宋_GB2312" w:eastAsia="仿宋_GB2312" w:cs="仿宋_GB2312"/>
          <w:sz w:val="32"/>
          <w:szCs w:val="32"/>
        </w:rPr>
        <w:t>实学生</w:t>
      </w:r>
      <w:r>
        <w:rPr>
          <w:rFonts w:hint="eastAsia" w:ascii="仿宋_GB2312" w:hAnsi="仿宋_GB2312" w:eastAsia="仿宋_GB2312" w:cs="仿宋_GB2312"/>
          <w:sz w:val="32"/>
          <w:szCs w:val="32"/>
          <w:lang w:eastAsia="zh-CN"/>
        </w:rPr>
        <w:t>大多</w:t>
      </w:r>
      <w:r>
        <w:rPr>
          <w:rFonts w:hint="eastAsia" w:ascii="仿宋_GB2312" w:hAnsi="仿宋_GB2312" w:eastAsia="仿宋_GB2312" w:cs="仿宋_GB2312"/>
          <w:sz w:val="32"/>
          <w:szCs w:val="32"/>
        </w:rPr>
        <w:t>被</w:t>
      </w:r>
      <w:r>
        <w:rPr>
          <w:rFonts w:hint="eastAsia" w:ascii="仿宋_GB2312" w:hAnsi="仿宋_GB2312" w:eastAsia="仿宋_GB2312" w:cs="仿宋_GB2312"/>
          <w:sz w:val="32"/>
          <w:szCs w:val="32"/>
          <w:lang w:eastAsia="zh-CN"/>
        </w:rPr>
        <w:t>实习单位</w:t>
      </w:r>
      <w:r>
        <w:rPr>
          <w:rFonts w:hint="eastAsia" w:ascii="仿宋_GB2312" w:hAnsi="仿宋_GB2312" w:eastAsia="仿宋_GB2312" w:cs="仿宋_GB2312"/>
          <w:sz w:val="32"/>
          <w:szCs w:val="32"/>
        </w:rPr>
        <w:t>破格录用，在一定程度上反映了社会对文天土木学生素质的肯定。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6" w:firstLineChars="202"/>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经济管理系先后与淮河水利委员会治淮工程建设管理局</w:t>
      </w:r>
      <w:r>
        <w:rPr>
          <w:rFonts w:hint="eastAsia" w:ascii="仿宋_GB2312" w:hAnsi="仿宋_GB2312" w:eastAsia="仿宋_GB2312" w:cs="仿宋_GB2312"/>
          <w:sz w:val="32"/>
          <w:szCs w:val="32"/>
          <w:lang w:eastAsia="zh-CN"/>
        </w:rPr>
        <w:t>、安徽华林会计师事务所、马鞍山青年电子商务产业园、安徽昕源集团有限公司、万豪国际集团</w:t>
      </w:r>
      <w:r>
        <w:rPr>
          <w:rFonts w:hint="eastAsia" w:ascii="仿宋_GB2312" w:hAnsi="仿宋_GB2312" w:eastAsia="仿宋_GB2312" w:cs="仿宋_GB2312"/>
          <w:sz w:val="32"/>
          <w:szCs w:val="32"/>
        </w:rPr>
        <w:t>等十余家企事业单位建立实习合作关系。了解市场对人才需求新方向后鼓励教师根据市场需求调整授课内容，增加实践性课程比例。鼓励学生考研考证，全年经管系学生考取会计从业资格证书、初级会计师等各类从业资格证书</w:t>
      </w:r>
      <w:r>
        <w:rPr>
          <w:rFonts w:hint="eastAsia" w:ascii="仿宋_GB2312" w:hAnsi="仿宋_GB2312" w:eastAsia="仿宋_GB2312" w:cs="仿宋_GB2312"/>
          <w:sz w:val="32"/>
          <w:szCs w:val="32"/>
          <w:lang w:eastAsia="zh-CN"/>
        </w:rPr>
        <w:t>人数及</w:t>
      </w:r>
      <w:r>
        <w:rPr>
          <w:rFonts w:hint="eastAsia" w:ascii="仿宋_GB2312" w:hAnsi="仿宋_GB2312" w:eastAsia="仿宋_GB2312" w:cs="仿宋_GB2312"/>
          <w:sz w:val="32"/>
          <w:szCs w:val="32"/>
        </w:rPr>
        <w:t>考研达线人数均比往年有显著提高。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6" w:firstLineChars="202"/>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气信息工程系扩建了安徽开源软件有限公司、南京多禾信息技术有限公司等15家校外实习基地，与马鞍山软件园、上海音达科技实业有限公司等校外实践基地联合，实施了企业课程嵌入、企业实践学分置换等合作模式，开设了数据库系统管理与维护、IOS移动应用技术实践、J2EE架构与应用开发技术、.NET架构与应用开发技术等业界前沿课程，获得了良好效果。</w:t>
      </w:r>
      <w:r>
        <w:rPr>
          <w:rFonts w:hint="eastAsia" w:ascii="仿宋_GB2312" w:hAnsi="仿宋_GB2312" w:eastAsia="仿宋_GB2312" w:cs="仿宋_GB2312"/>
          <w:sz w:val="32"/>
          <w:szCs w:val="32"/>
          <w:lang w:eastAsia="zh-CN"/>
        </w:rPr>
        <w:t>部分</w:t>
      </w:r>
      <w:r>
        <w:rPr>
          <w:rFonts w:hint="eastAsia" w:ascii="仿宋_GB2312" w:hAnsi="仿宋_GB2312" w:eastAsia="仿宋_GB2312" w:cs="仿宋_GB2312"/>
          <w:sz w:val="32"/>
          <w:szCs w:val="32"/>
        </w:rPr>
        <w:t>毕业生从今年暑假中就提前投入毕业实践，</w:t>
      </w:r>
      <w:r>
        <w:rPr>
          <w:rFonts w:hint="eastAsia" w:ascii="仿宋_GB2312" w:hAnsi="仿宋_GB2312" w:eastAsia="仿宋_GB2312" w:cs="仿宋_GB2312"/>
          <w:sz w:val="32"/>
          <w:szCs w:val="32"/>
          <w:lang w:eastAsia="zh-CN"/>
        </w:rPr>
        <w:t>提前</w:t>
      </w:r>
      <w:r>
        <w:rPr>
          <w:rFonts w:hint="eastAsia" w:ascii="仿宋_GB2312" w:hAnsi="仿宋_GB2312" w:eastAsia="仿宋_GB2312" w:cs="仿宋_GB2312"/>
          <w:sz w:val="32"/>
          <w:szCs w:val="32"/>
        </w:rPr>
        <w:t>落实就业单位，并在就业单位带薪顶岗实习，大多是研发岗位，就业质量显著提升。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6" w:firstLineChars="202"/>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械工程系新增了东海机床、三联泵业等实践基地，并扩展了校企合作模式。校企联合开展技术研究，与三联泵业共同组建工程中心，合作开展技术研发；与东海机床联合师资培养，校内选拔年轻教师参加企业生产实践，提高工程能力。</w:t>
      </w:r>
    </w:p>
    <w:p>
      <w:pPr>
        <w:pStyle w:val="3"/>
        <w:rPr>
          <w:sz w:val="32"/>
          <w:szCs w:val="32"/>
        </w:rPr>
      </w:pPr>
      <w:bookmarkStart w:id="58" w:name="_Toc469401139"/>
      <w:r>
        <w:rPr>
          <w:rFonts w:hint="eastAsia"/>
          <w:sz w:val="32"/>
          <w:szCs w:val="32"/>
        </w:rPr>
        <w:t>三、面向地方，开展技术开发与服务</w:t>
      </w:r>
      <w:bookmarkEnd w:id="58"/>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6" w:firstLineChars="202"/>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依托各专业研究机构与实体产业公司开展横向科技开发、社会服务等工作。现已成立了水信息研究所、岩土与地质工程研究所、交通科学研究所、水利工程技术研究所等10所研究机构，成立了马鞍山文天工程技术研究有限公司、无锡市勘察设计研究院有限公司马鞍山分公司、马鞍山文昊电气科技有限责任公司和安徽省文天学院消防安全技术研究有限公司4个产业公司，拥有安全生产二级培训机构、桩基检测资质证书、工程设计乙级、安全生产标准化评审单位三级资质、工程测量丙级、工程勘察甲级、职业卫生丙级、消防安全评估和工程勘察劳务9项资质证书，通过产业公司为地方经济社会发展直接服务。先后承担了铁矿矿体模型分析系统、晋江滨海新区填海造地工程龙口合拢数学模型开发等横向课题合计百项以上，涉及技术开发、技术咨询、建设工程勘察、建设工程设计、桩基检测、职业卫生和安全生产标准化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sz w:val="30"/>
          <w:szCs w:val="30"/>
        </w:rPr>
      </w:pPr>
      <w:r>
        <w:rPr>
          <w:rFonts w:hint="eastAsia" w:ascii="仿宋_GB2312" w:hAnsi="仿宋_GB2312" w:eastAsia="仿宋_GB2312" w:cs="仿宋_GB2312"/>
          <w:sz w:val="32"/>
          <w:szCs w:val="32"/>
        </w:rPr>
        <w:t>成立了教育培训中心，通过整合院内外资源，为企事业单位提供技术培训与推广服务，年培训近4000人次。为配合马鞍山市安全工程产业发展，成立了马鞍山文天消防培训学院，具备初、中级建（构）筑物消防员培训资格。</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sz w:val="30"/>
          <w:szCs w:val="30"/>
        </w:rPr>
        <w:sectPr>
          <w:pgSz w:w="11906" w:h="16838"/>
          <w:pgMar w:top="1440" w:right="1800" w:bottom="1440" w:left="1800" w:header="851" w:footer="992" w:gutter="0"/>
          <w:cols w:space="425" w:num="1"/>
          <w:docGrid w:type="lines" w:linePitch="312" w:charSpace="0"/>
        </w:sectPr>
      </w:pPr>
    </w:p>
    <w:p>
      <w:pPr>
        <w:pStyle w:val="2"/>
        <w:rPr>
          <w:sz w:val="36"/>
          <w:szCs w:val="36"/>
        </w:rPr>
      </w:pPr>
      <w:bookmarkStart w:id="59" w:name="_Toc469401140"/>
      <w:r>
        <w:rPr>
          <w:rFonts w:hint="eastAsia"/>
          <w:sz w:val="36"/>
          <w:szCs w:val="36"/>
        </w:rPr>
        <w:t>第七部分 今后努力方向</w:t>
      </w:r>
      <w:bookmarkEnd w:id="59"/>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在学院领导班子的正确引领下，学院教学工作取得了一些成绩，但与高水平应用型大学建设的目标和要求对比，仍存在一些问题和不足，主要体现在：校企合作教育在应用型人才培养中的重要作用发挥不够；教师队伍结构不尽合理，双能型师资培养力度还有待加强；深化创新创业教育改革的力度还有待加强。</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学院将努力拓宽产学研合作育人渠道，充分发挥校企合作优势。深入企业调研，充分了解企业的人才、技术、装备情况，深入沟通，广辟渠道，开展全方位合作，充分利用企业的教学实验和科研设施资源，进一步拓展学院实验实训科研设备平台，为师生打造得天独厚的技术训练和科研创新条件。</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学院将按照应用型人才培养的需要，结合学校“十三五”师资队伍建设规划，有针对性地引进高层次人才，以教研室为抓手，加快培育优秀教学团队；完善青年教师的培养制度，加大对青年骨干教师队伍的培养和资助力度，为青年教师“走出去”提供平台，促进双能型师资的培养。</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sz w:val="32"/>
          <w:szCs w:val="32"/>
        </w:rPr>
      </w:pPr>
      <w:r>
        <w:rPr>
          <w:rFonts w:hint="eastAsia" w:ascii="仿宋_GB2312" w:hAnsi="仿宋_GB2312" w:eastAsia="仿宋_GB2312" w:cs="仿宋_GB2312"/>
          <w:sz w:val="32"/>
          <w:szCs w:val="32"/>
        </w:rPr>
        <w:t>学院将继续不断深化创新创业教育改革，加大对创新创业专业课程建设的支持力度，改革教学管理和学籍管理制度，将学生开展创新实验、发表论文、获得专利和资助创业等活动计算学分，将学生参与课题研究、项目实验等活动认定为课堂学习。实施弹性学制，放宽学生修业年限，允许学生保留学籍创新创业等。</w:t>
      </w:r>
    </w:p>
    <w:bookmarkEnd w:id="60"/>
    <w:sectPr>
      <w:footerReference r:id="rId6" w:type="default"/>
      <w:pgSz w:w="11906" w:h="16838"/>
      <w:pgMar w:top="1440" w:right="1800" w:bottom="1276"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03505" cy="139700"/>
              <wp:effectExtent l="0" t="0" r="0" b="0"/>
              <wp:wrapNone/>
              <wp:docPr id="4"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103505" cy="139700"/>
                      </a:xfrm>
                      <a:prstGeom prst="rect">
                        <a:avLst/>
                      </a:prstGeom>
                      <a:noFill/>
                      <a:ln>
                        <a:noFill/>
                      </a:ln>
                    </wps:spPr>
                    <wps:txbx>
                      <w:txbxContent>
                        <w:p>
                          <w:pPr>
                            <w:snapToGrid w:val="0"/>
                            <w:rPr>
                              <w:sz w:val="18"/>
                            </w:rPr>
                          </w:pPr>
                        </w:p>
                      </w:txbxContent>
                    </wps:txbx>
                    <wps:bodyPr rot="0" vert="horz" wrap="none" lIns="0" tIns="0" rIns="0" bIns="0" anchor="t" anchorCtr="0" upright="1">
                      <a:spAutoFit/>
                    </wps:bodyPr>
                  </wps:wsp>
                </a:graphicData>
              </a:graphic>
            </wp:anchor>
          </w:drawing>
        </mc:Choice>
        <mc:Fallback>
          <w:pict>
            <v:shape id="Text Box 1025" o:spid="_x0000_s1026" o:spt="202" type="#_x0000_t202" style="position:absolute;left:0pt;margin-top:0pt;height:11pt;width:8.15pt;mso-position-horizontal:center;mso-position-horizontal-relative:margin;mso-wrap-style:none;z-index:251664384;mso-width-relative:page;mso-height-relative:page;" filled="f" stroked="f" coordsize="21600,21600" o:gfxdata="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gyIUc0AAAAAMBAAAPAAAAAAAA&#10;AAEAIAAAACIAAABkcnMvZG93bnJldi54bWxQSwECFAAUAAAACACHTuJAZUCq4uEBAAC2AwAADgAA&#10;AAAAAAABACAAAAAfAQAAZHJzL2Uyb0RvYy54bWxQSwUGAAAAAAYABgBZAQAAcgUAAAAA&#10;">
              <v:fill on="f" focussize="0,0"/>
              <v:stroke on="f"/>
              <v:imagedata o:title=""/>
              <o:lock v:ext="edit" aspectratio="f"/>
              <v:textbox inset="0mm,0mm,0mm,0mm" style="mso-fit-shape-to-text:t;">
                <w:txbxContent>
                  <w:p>
                    <w:pPr>
                      <w:snapToGrid w:val="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35255" cy="162560"/>
              <wp:effectExtent l="0" t="0" r="0" b="0"/>
              <wp:wrapNone/>
              <wp:docPr id="7" name="Text Box 1027"/>
              <wp:cNvGraphicFramePr/>
              <a:graphic xmlns:a="http://schemas.openxmlformats.org/drawingml/2006/main">
                <a:graphicData uri="http://schemas.microsoft.com/office/word/2010/wordprocessingShape">
                  <wps:wsp>
                    <wps:cNvSpPr txBox="1">
                      <a:spLocks noChangeArrowheads="1"/>
                    </wps:cNvSpPr>
                    <wps:spPr bwMode="auto">
                      <a:xfrm>
                        <a:off x="0" y="0"/>
                        <a:ext cx="135255" cy="162560"/>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2</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Text Box 1027" o:spid="_x0000_s1026" o:spt="202" type="#_x0000_t202" style="position:absolute;left:0pt;margin-top:0pt;height:12.8pt;width:10.65pt;mso-position-horizontal:center;mso-position-horizontal-relative:margin;mso-wrap-style:none;z-index:251663360;mso-width-relative:page;mso-height-relative:page;" filled="f" stroked="f" coordsize="21600,21600" o:gfxdata="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H/0cwdEAAAADAQAADwAAAAAA&#10;AAABACAAAAAiAAAAZHJzL2Rvd25yZXYueG1sUEsBAhQAFAAAAAgAh07iQElG2/LhAQAAtgMAAA4A&#10;AAAAAAAAAQAgAAAAIAEAAGRycy9lMm9Eb2MueG1sUEsFBgAAAAAGAAYAWQEAAHMFA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2</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35255" cy="162560"/>
              <wp:effectExtent l="0" t="0" r="0" b="0"/>
              <wp:wrapNone/>
              <wp:docPr id="8" name="Text Box 1027"/>
              <wp:cNvGraphicFramePr/>
              <a:graphic xmlns:a="http://schemas.openxmlformats.org/drawingml/2006/main">
                <a:graphicData uri="http://schemas.microsoft.com/office/word/2010/wordprocessingShape">
                  <wps:wsp>
                    <wps:cNvSpPr txBox="1">
                      <a:spLocks noChangeArrowheads="1"/>
                    </wps:cNvSpPr>
                    <wps:spPr bwMode="auto">
                      <a:xfrm>
                        <a:off x="0" y="0"/>
                        <a:ext cx="135255" cy="162560"/>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24</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Text Box 1027" o:spid="_x0000_s1026" o:spt="202" type="#_x0000_t202" style="position:absolute;left:0pt;margin-top:0pt;height:12.8pt;width:10.65pt;mso-position-horizontal:center;mso-position-horizontal-relative:margin;mso-wrap-style:none;z-index:251666432;mso-width-relative:page;mso-height-relative:page;" filled="f" stroked="f" coordsize="21600,21600" o:gfxdata="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f/RzB0QAAAAMBAAAPAAAAAAAA&#10;AAEAIAAAACIAAABkcnMvZG93bnJldi54bWxQSwECFAAUAAAACACHTuJA4raQd+ABAAC2AwAADgAA&#10;AAAAAAABACAAAAAgAQAAZHJzL2Uyb0RvYy54bWxQSwUGAAAAAAYABgBZAQAAcgU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24</w:t>
                    </w:r>
                    <w:r>
                      <w:rPr>
                        <w:rFonts w:hint="eastAsia"/>
                        <w:sz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39C7A0"/>
    <w:multiLevelType w:val="singleLevel"/>
    <w:tmpl w:val="5639C7A0"/>
    <w:lvl w:ilvl="0" w:tentative="0">
      <w:start w:val="2"/>
      <w:numFmt w:val="chineseCounting"/>
      <w:suff w:val="nothing"/>
      <w:lvlText w:val="%1、"/>
      <w:lvlJc w:val="left"/>
    </w:lvl>
  </w:abstractNum>
  <w:abstractNum w:abstractNumId="1">
    <w:nsid w:val="5639C7C1"/>
    <w:multiLevelType w:val="singleLevel"/>
    <w:tmpl w:val="5639C7C1"/>
    <w:lvl w:ilvl="0" w:tentative="0">
      <w:start w:val="1"/>
      <w:numFmt w:val="decimal"/>
      <w:suff w:val="nothing"/>
      <w:lvlText w:val="%1."/>
      <w:lvlJc w:val="left"/>
    </w:lvl>
  </w:abstractNum>
  <w:abstractNum w:abstractNumId="2">
    <w:nsid w:val="563ABBC5"/>
    <w:multiLevelType w:val="singleLevel"/>
    <w:tmpl w:val="563ABBC5"/>
    <w:lvl w:ilvl="0" w:tentative="0">
      <w:start w:val="1"/>
      <w:numFmt w:val="chineseCounting"/>
      <w:suff w:val="nothing"/>
      <w:lvlText w:val="%1、"/>
      <w:lvlJc w:val="left"/>
    </w:lvl>
  </w:abstractNum>
  <w:abstractNum w:abstractNumId="3">
    <w:nsid w:val="563AC4D3"/>
    <w:multiLevelType w:val="singleLevel"/>
    <w:tmpl w:val="563AC4D3"/>
    <w:lvl w:ilvl="0" w:tentative="0">
      <w:start w:val="1"/>
      <w:numFmt w:val="chineseCounting"/>
      <w:suff w:val="nothing"/>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018"/>
    <w:rsid w:val="00004573"/>
    <w:rsid w:val="000E247C"/>
    <w:rsid w:val="000E7DB0"/>
    <w:rsid w:val="001A41E3"/>
    <w:rsid w:val="001D3148"/>
    <w:rsid w:val="00253BFE"/>
    <w:rsid w:val="002D0EE9"/>
    <w:rsid w:val="003D5472"/>
    <w:rsid w:val="003F56EC"/>
    <w:rsid w:val="004217DC"/>
    <w:rsid w:val="0043797E"/>
    <w:rsid w:val="00442B9C"/>
    <w:rsid w:val="004823EE"/>
    <w:rsid w:val="0049550C"/>
    <w:rsid w:val="004C5A80"/>
    <w:rsid w:val="0054500E"/>
    <w:rsid w:val="00552288"/>
    <w:rsid w:val="0058156F"/>
    <w:rsid w:val="00620409"/>
    <w:rsid w:val="00644BC5"/>
    <w:rsid w:val="00652B41"/>
    <w:rsid w:val="006D5702"/>
    <w:rsid w:val="006F34AD"/>
    <w:rsid w:val="00766B5A"/>
    <w:rsid w:val="007923F3"/>
    <w:rsid w:val="007C3EDF"/>
    <w:rsid w:val="007D0C4F"/>
    <w:rsid w:val="00805DB4"/>
    <w:rsid w:val="00831018"/>
    <w:rsid w:val="008A493B"/>
    <w:rsid w:val="0096465A"/>
    <w:rsid w:val="009B3B77"/>
    <w:rsid w:val="00AB54FD"/>
    <w:rsid w:val="00C76AC1"/>
    <w:rsid w:val="00CA2844"/>
    <w:rsid w:val="00CA4112"/>
    <w:rsid w:val="00CC183E"/>
    <w:rsid w:val="00D16B8B"/>
    <w:rsid w:val="00E03D83"/>
    <w:rsid w:val="00F74E83"/>
    <w:rsid w:val="00F752D7"/>
    <w:rsid w:val="0B204B25"/>
    <w:rsid w:val="14B868C4"/>
    <w:rsid w:val="181C6A73"/>
    <w:rsid w:val="199A0A4C"/>
    <w:rsid w:val="25C63E16"/>
    <w:rsid w:val="3BA210B7"/>
    <w:rsid w:val="3F805BFA"/>
    <w:rsid w:val="4DD84EE0"/>
    <w:rsid w:val="51E004E3"/>
    <w:rsid w:val="53EF7A83"/>
    <w:rsid w:val="5A7B7A33"/>
    <w:rsid w:val="5B706967"/>
    <w:rsid w:val="679F3037"/>
    <w:rsid w:val="6A2004E9"/>
    <w:rsid w:val="70A970BB"/>
    <w:rsid w:val="77950F56"/>
    <w:rsid w:val="7B917952"/>
    <w:rsid w:val="7C8546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0"/>
      <w:szCs w:val="32"/>
    </w:rPr>
  </w:style>
  <w:style w:type="paragraph" w:styleId="4">
    <w:name w:val="heading 3"/>
    <w:basedOn w:val="1"/>
    <w:next w:val="1"/>
    <w:unhideWhenUsed/>
    <w:qFormat/>
    <w:uiPriority w:val="9"/>
    <w:pPr>
      <w:keepNext/>
      <w:keepLines/>
      <w:spacing w:before="260" w:after="260" w:line="416" w:lineRule="auto"/>
      <w:outlineLvl w:val="2"/>
    </w:pPr>
    <w:rPr>
      <w:b/>
      <w:bCs/>
      <w:sz w:val="28"/>
      <w:szCs w:val="32"/>
    </w:rPr>
  </w:style>
  <w:style w:type="character" w:default="1" w:styleId="13">
    <w:name w:val="Default Paragraph Font"/>
    <w:unhideWhenUsed/>
    <w:qFormat/>
    <w:uiPriority w:val="1"/>
  </w:style>
  <w:style w:type="table" w:default="1" w:styleId="16">
    <w:name w:val="Normal Table"/>
    <w:unhideWhenUsed/>
    <w:qFormat/>
    <w:uiPriority w:val="99"/>
    <w:tblPr>
      <w:tblLayout w:type="fixed"/>
      <w:tblCellMar>
        <w:top w:w="0" w:type="dxa"/>
        <w:left w:w="108" w:type="dxa"/>
        <w:bottom w:w="0" w:type="dxa"/>
        <w:right w:w="108" w:type="dxa"/>
      </w:tblCellMar>
    </w:tblPr>
  </w:style>
  <w:style w:type="paragraph" w:styleId="5">
    <w:name w:val="toc 3"/>
    <w:basedOn w:val="1"/>
    <w:next w:val="1"/>
    <w:unhideWhenUsed/>
    <w:qFormat/>
    <w:uiPriority w:val="39"/>
    <w:pPr>
      <w:ind w:left="840" w:leftChars="400"/>
    </w:pPr>
  </w:style>
  <w:style w:type="paragraph" w:styleId="6">
    <w:name w:val="Date"/>
    <w:basedOn w:val="1"/>
    <w:next w:val="1"/>
    <w:link w:val="22"/>
    <w:unhideWhenUsed/>
    <w:qFormat/>
    <w:uiPriority w:val="99"/>
    <w:pPr>
      <w:ind w:left="100" w:leftChars="2500"/>
    </w:pPr>
  </w:style>
  <w:style w:type="paragraph" w:styleId="7">
    <w:name w:val="Balloon Text"/>
    <w:basedOn w:val="1"/>
    <w:link w:val="21"/>
    <w:unhideWhenUsed/>
    <w:qFormat/>
    <w:uiPriority w:val="99"/>
    <w:rPr>
      <w:sz w:val="18"/>
      <w:szCs w:val="18"/>
    </w:rPr>
  </w:style>
  <w:style w:type="paragraph" w:styleId="8">
    <w:name w:val="footer"/>
    <w:basedOn w:val="1"/>
    <w:link w:val="20"/>
    <w:unhideWhenUsed/>
    <w:qFormat/>
    <w:uiPriority w:val="99"/>
    <w:pPr>
      <w:tabs>
        <w:tab w:val="center" w:pos="4153"/>
        <w:tab w:val="right" w:pos="8306"/>
      </w:tabs>
      <w:snapToGrid w:val="0"/>
      <w:jc w:val="left"/>
    </w:pPr>
    <w:rPr>
      <w:sz w:val="18"/>
      <w:szCs w:val="18"/>
    </w:rPr>
  </w:style>
  <w:style w:type="paragraph" w:styleId="9">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toc 2"/>
    <w:basedOn w:val="1"/>
    <w:next w:val="1"/>
    <w:unhideWhenUsed/>
    <w:qFormat/>
    <w:uiPriority w:val="39"/>
    <w:pPr>
      <w:ind w:left="420" w:leftChars="200"/>
    </w:pPr>
  </w:style>
  <w:style w:type="paragraph" w:styleId="12">
    <w:name w:val="Title"/>
    <w:basedOn w:val="1"/>
    <w:next w:val="1"/>
    <w:link w:val="23"/>
    <w:qFormat/>
    <w:uiPriority w:val="0"/>
    <w:pPr>
      <w:spacing w:before="240" w:after="60"/>
      <w:jc w:val="center"/>
      <w:outlineLvl w:val="0"/>
    </w:pPr>
    <w:rPr>
      <w:rFonts w:ascii="Cambria" w:hAnsi="Cambria" w:eastAsiaTheme="minorEastAsia"/>
      <w:b/>
      <w:bCs/>
      <w:sz w:val="32"/>
      <w:szCs w:val="32"/>
    </w:rPr>
  </w:style>
  <w:style w:type="character" w:styleId="14">
    <w:name w:val="Strong"/>
    <w:basedOn w:val="13"/>
    <w:qFormat/>
    <w:uiPriority w:val="22"/>
    <w:rPr>
      <w:b/>
      <w:bCs/>
    </w:rPr>
  </w:style>
  <w:style w:type="character" w:styleId="15">
    <w:name w:val="Hyperlink"/>
    <w:basedOn w:val="13"/>
    <w:unhideWhenUsed/>
    <w:qFormat/>
    <w:uiPriority w:val="99"/>
    <w:rPr>
      <w:rFonts w:hint="eastAsia" w:ascii="宋体" w:hAnsi="宋体" w:eastAsia="宋体" w:cs="宋体"/>
      <w:color w:val="4C4C4C"/>
      <w:sz w:val="18"/>
      <w:szCs w:val="18"/>
      <w:u w:val="none"/>
    </w:rPr>
  </w:style>
  <w:style w:type="character" w:customStyle="1" w:styleId="17">
    <w:name w:val="标题 1 Char"/>
    <w:basedOn w:val="13"/>
    <w:link w:val="2"/>
    <w:qFormat/>
    <w:uiPriority w:val="9"/>
    <w:rPr>
      <w:b/>
      <w:bCs/>
      <w:kern w:val="44"/>
      <w:sz w:val="44"/>
      <w:szCs w:val="44"/>
    </w:rPr>
  </w:style>
  <w:style w:type="paragraph" w:customStyle="1" w:styleId="18">
    <w:name w:val="List Paragraph"/>
    <w:basedOn w:val="1"/>
    <w:qFormat/>
    <w:uiPriority w:val="34"/>
    <w:pPr>
      <w:ind w:firstLine="420" w:firstLineChars="200"/>
    </w:pPr>
  </w:style>
  <w:style w:type="character" w:customStyle="1" w:styleId="19">
    <w:name w:val="页眉 Char"/>
    <w:basedOn w:val="13"/>
    <w:link w:val="9"/>
    <w:qFormat/>
    <w:uiPriority w:val="99"/>
    <w:rPr>
      <w:rFonts w:ascii="Times New Roman" w:hAnsi="Times New Roman" w:eastAsia="宋体" w:cs="Times New Roman"/>
      <w:sz w:val="18"/>
      <w:szCs w:val="18"/>
    </w:rPr>
  </w:style>
  <w:style w:type="character" w:customStyle="1" w:styleId="20">
    <w:name w:val="页脚 Char"/>
    <w:basedOn w:val="13"/>
    <w:link w:val="8"/>
    <w:qFormat/>
    <w:uiPriority w:val="99"/>
    <w:rPr>
      <w:rFonts w:ascii="Times New Roman" w:hAnsi="Times New Roman" w:eastAsia="宋体" w:cs="Times New Roman"/>
      <w:sz w:val="18"/>
      <w:szCs w:val="18"/>
    </w:rPr>
  </w:style>
  <w:style w:type="character" w:customStyle="1" w:styleId="21">
    <w:name w:val="批注框文本 Char"/>
    <w:basedOn w:val="13"/>
    <w:link w:val="7"/>
    <w:semiHidden/>
    <w:qFormat/>
    <w:uiPriority w:val="99"/>
    <w:rPr>
      <w:rFonts w:ascii="Times New Roman" w:hAnsi="Times New Roman" w:eastAsia="宋体" w:cs="Times New Roman"/>
      <w:sz w:val="18"/>
      <w:szCs w:val="18"/>
    </w:rPr>
  </w:style>
  <w:style w:type="character" w:customStyle="1" w:styleId="22">
    <w:name w:val="日期 Char"/>
    <w:basedOn w:val="13"/>
    <w:link w:val="6"/>
    <w:semiHidden/>
    <w:qFormat/>
    <w:uiPriority w:val="99"/>
    <w:rPr>
      <w:rFonts w:ascii="Times New Roman" w:hAnsi="Times New Roman" w:eastAsia="宋体" w:cs="Times New Roman"/>
      <w:szCs w:val="24"/>
    </w:rPr>
  </w:style>
  <w:style w:type="character" w:customStyle="1" w:styleId="23">
    <w:name w:val="标题 Char"/>
    <w:link w:val="12"/>
    <w:qFormat/>
    <w:uiPriority w:val="0"/>
    <w:rPr>
      <w:rFonts w:ascii="Cambria" w:hAnsi="Cambria" w:cs="Times New Roman"/>
      <w:b/>
      <w:bCs/>
      <w:sz w:val="32"/>
      <w:szCs w:val="32"/>
    </w:rPr>
  </w:style>
  <w:style w:type="character" w:customStyle="1" w:styleId="24">
    <w:name w:val="标题 Char1"/>
    <w:basedOn w:val="13"/>
    <w:qFormat/>
    <w:uiPriority w:val="10"/>
    <w:rPr>
      <w:rFonts w:eastAsia="宋体" w:asciiTheme="majorHAnsi" w:hAnsiTheme="majorHAnsi" w:cstheme="majorBidi"/>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Pages>
  <Words>640</Words>
  <Characters>3650</Characters>
  <Lines>30</Lines>
  <Paragraphs>8</Paragraphs>
  <TotalTime>18</TotalTime>
  <ScaleCrop>false</ScaleCrop>
  <LinksUpToDate>false</LinksUpToDate>
  <CharactersWithSpaces>4282</CharactersWithSpaces>
  <Application>WPS Office_10.1.0.7311_F1E327BC-269C-435d-A152-05C5408002CA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2017-12-11T07:20:00Z</dcterms:created>
  <dc:creator>Administrator</dc:creator>
  <cp:lastModifiedBy>Ma_y</cp:lastModifiedBy>
  <cp:lastPrinted>2017-12-14T02:34:00Z</cp:lastPrinted>
  <dcterms:modified xsi:type="dcterms:W3CDTF">2018-04-27T01:27:15Z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2052-10.1.0.7311</vt:lpwstr>
  </property>
</Properties>
</file>