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500" w:lineRule="exact"/>
        <w:jc w:val="center"/>
        <w:rPr>
          <w:rFonts w:ascii="黑体" w:hAnsi="黑体" w:eastAsia="黑体"/>
          <w:color w:val="000000"/>
          <w:sz w:val="40"/>
          <w:szCs w:val="40"/>
        </w:rPr>
      </w:pPr>
      <w:bookmarkStart w:id="0" w:name="_GoBack"/>
      <w:bookmarkEnd w:id="0"/>
      <w:r>
        <w:rPr>
          <w:rFonts w:ascii="黑体" w:hAnsi="黑体" w:eastAsia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28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5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/>
          <w:bCs/>
          <w:color w:val="000000"/>
          <w:sz w:val="32"/>
          <w:szCs w:val="32"/>
        </w:rPr>
        <w:t>十二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990"/>
        <w:gridCol w:w="1260"/>
        <w:gridCol w:w="6315"/>
        <w:gridCol w:w="1500"/>
        <w:gridCol w:w="2895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完成第七次校长书记会会议纪要及相关督办单下发工作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各部门、各学院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协助宣传科完成网站首页优化扫尾工作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4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院务部工作流程梳理采集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院务部各科室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继续推进学校行政类制度汇编收集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资产管理部、人力资源部、院务部保卫科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日常收发文、信访来电、会议室安排及管理、用印审批等常规工作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进一步加强常态化疫情防控工作下的门卫管理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防电诈和金融安全知识讲座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="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市银行业协会、团委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各项防疫数据的统计、汇总、上报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水利楼出现自渎行为进行查处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跟进开学以来接到的学生投诉解决进度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档案编辑整理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行政领导用车，教师上课班车及疫情防控用车，实习用车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>
      <w:pgSz w:w="16839" w:h="11907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49A973B3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3</TotalTime>
  <ScaleCrop>false</ScaleCrop>
  <LinksUpToDate>false</LinksUpToDate>
  <CharactersWithSpaces>123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Administrator</cp:lastModifiedBy>
  <dcterms:modified xsi:type="dcterms:W3CDTF">2021-05-24T02:02:37Z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498FF60A45CF4F1A88529ACBAC3DAD8D</vt:lpwstr>
  </property>
</Properties>
</file>