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jc w:val="center"/>
        <w:rPr>
          <w:rFonts w:ascii="仿宋" w:hAnsi="仿宋" w:eastAsia="仿宋" w:cs="仿宋"/>
          <w:sz w:val="32"/>
          <w:szCs w:val="32"/>
        </w:rPr>
      </w:pPr>
      <w:r>
        <w:rPr>
          <w:rFonts w:hint="eastAsia" w:ascii="仿宋" w:hAnsi="仿宋" w:eastAsia="仿宋" w:cs="仿宋"/>
          <w:sz w:val="32"/>
          <w:szCs w:val="32"/>
        </w:rPr>
        <w:t>皖工校政〔2022〕</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号</w:t>
      </w:r>
    </w:p>
    <w:p>
      <w:pPr>
        <w:spacing w:line="540" w:lineRule="exact"/>
        <w:rPr>
          <w:rFonts w:ascii="华文中宋" w:hAnsi="华文中宋" w:eastAsia="华文中宋"/>
          <w:sz w:val="36"/>
          <w:szCs w:val="36"/>
        </w:rPr>
      </w:pPr>
    </w:p>
    <w:p>
      <w:pPr>
        <w:spacing w:line="540" w:lineRule="exact"/>
        <w:rPr>
          <w:rFonts w:ascii="华文中宋" w:hAnsi="华文中宋" w:eastAsia="华文中宋"/>
          <w:sz w:val="36"/>
          <w:szCs w:val="36"/>
        </w:rPr>
      </w:pPr>
    </w:p>
    <w:p>
      <w:pPr>
        <w:widowControl/>
        <w:spacing w:line="600" w:lineRule="exact"/>
        <w:jc w:val="center"/>
        <w:textAlignment w:val="baseline"/>
        <w:rPr>
          <w:rStyle w:val="7"/>
          <w:rFonts w:ascii="宋体" w:hAnsi="宋体" w:eastAsia="宋体" w:cs="宋体"/>
          <w:b/>
          <w:w w:val="90"/>
          <w:sz w:val="40"/>
          <w:szCs w:val="40"/>
        </w:rPr>
      </w:pPr>
      <w:r>
        <w:rPr>
          <w:rStyle w:val="7"/>
          <w:rFonts w:hint="eastAsia" w:ascii="宋体" w:hAnsi="宋体" w:eastAsia="宋体" w:cs="宋体"/>
          <w:b/>
          <w:w w:val="90"/>
          <w:sz w:val="40"/>
          <w:szCs w:val="40"/>
        </w:rPr>
        <w:t>关于</w:t>
      </w:r>
      <w:r>
        <w:rPr>
          <w:rStyle w:val="7"/>
          <w:rFonts w:hint="eastAsia" w:ascii="宋体" w:hAnsi="宋体" w:eastAsia="宋体" w:cs="宋体"/>
          <w:b/>
          <w:w w:val="90"/>
          <w:sz w:val="40"/>
          <w:szCs w:val="40"/>
          <w:lang w:eastAsia="zh-CN"/>
        </w:rPr>
        <w:t>增设汽车服务工程学士学位授予专业的报告</w:t>
      </w:r>
    </w:p>
    <w:p>
      <w:pPr>
        <w:widowControl/>
        <w:spacing w:line="600" w:lineRule="exact"/>
        <w:jc w:val="center"/>
        <w:textAlignment w:val="baseline"/>
        <w:rPr>
          <w:rStyle w:val="7"/>
          <w:rFonts w:hint="eastAsia" w:ascii="宋体" w:hAnsi="宋体" w:eastAsia="宋体" w:cs="宋体"/>
          <w:b/>
          <w:sz w:val="44"/>
          <w:szCs w:val="44"/>
        </w:rPr>
      </w:pPr>
    </w:p>
    <w:p>
      <w:pPr>
        <w:spacing w:line="360" w:lineRule="auto"/>
        <w:rPr>
          <w:rFonts w:hint="eastAsia" w:ascii="仿宋_GB2312" w:hAnsi="华文中宋" w:eastAsia="仿宋_GB2312" w:cs="Times New Roman"/>
          <w:b w:val="0"/>
          <w:bCs w:val="0"/>
          <w:kern w:val="0"/>
          <w:sz w:val="32"/>
          <w:szCs w:val="32"/>
          <w:u w:val="none"/>
          <w:lang w:val="en-US" w:eastAsia="zh-CN" w:bidi="ar"/>
        </w:rPr>
      </w:pPr>
      <w:r>
        <w:rPr>
          <w:rFonts w:hint="eastAsia" w:ascii="仿宋_GB2312" w:hAnsi="华文中宋" w:eastAsia="仿宋_GB2312" w:cs="Times New Roman"/>
          <w:b w:val="0"/>
          <w:bCs w:val="0"/>
          <w:kern w:val="0"/>
          <w:sz w:val="32"/>
          <w:szCs w:val="32"/>
          <w:u w:val="none"/>
          <w:lang w:val="en-US" w:eastAsia="zh-CN" w:bidi="ar"/>
        </w:rPr>
        <w:t>安徽省学位办：</w:t>
      </w:r>
    </w:p>
    <w:p>
      <w:pPr>
        <w:spacing w:line="360" w:lineRule="auto"/>
        <w:ind w:firstLine="640" w:firstLineChars="200"/>
        <w:rPr>
          <w:rFonts w:hint="eastAsia" w:ascii="仿宋_GB2312" w:hAnsi="华文中宋" w:eastAsia="仿宋_GB2312" w:cs="Times New Roman"/>
          <w:b w:val="0"/>
          <w:bCs w:val="0"/>
          <w:kern w:val="0"/>
          <w:sz w:val="32"/>
          <w:szCs w:val="32"/>
          <w:u w:val="none"/>
          <w:lang w:val="en-US" w:eastAsia="zh-CN" w:bidi="ar"/>
        </w:rPr>
      </w:pPr>
      <w:r>
        <w:rPr>
          <w:rFonts w:hint="eastAsia" w:ascii="仿宋_GB2312" w:hAnsi="华文中宋" w:eastAsia="仿宋_GB2312" w:cs="Times New Roman"/>
          <w:b w:val="0"/>
          <w:bCs w:val="0"/>
          <w:kern w:val="0"/>
          <w:sz w:val="32"/>
          <w:szCs w:val="32"/>
          <w:u w:val="none"/>
          <w:lang w:val="en-US" w:eastAsia="zh-CN" w:bidi="ar"/>
        </w:rPr>
        <w:t>对照《安徽省普通高等学校学士学位授予专业评审指标》，我校对2018年开始招生的汽车服务工程专业进行了学士学位授予权专业校内评审。经学位评定委员会评审，我校一致认为这个专业符合学士学位授予专业条件，现拟将这个专业列为学士学位授予专业。</w:t>
      </w:r>
    </w:p>
    <w:p>
      <w:pPr>
        <w:spacing w:line="360" w:lineRule="auto"/>
        <w:ind w:firstLine="640" w:firstLineChars="200"/>
        <w:rPr>
          <w:rFonts w:hint="eastAsia" w:ascii="仿宋_GB2312" w:hAnsi="华文中宋" w:eastAsia="仿宋_GB2312" w:cs="Times New Roman"/>
          <w:b w:val="0"/>
          <w:bCs w:val="0"/>
          <w:kern w:val="0"/>
          <w:sz w:val="32"/>
          <w:szCs w:val="32"/>
          <w:u w:val="none"/>
          <w:lang w:val="en-US" w:eastAsia="zh-CN" w:bidi="ar"/>
        </w:rPr>
      </w:pPr>
      <w:r>
        <w:rPr>
          <w:rFonts w:hint="eastAsia" w:ascii="仿宋_GB2312" w:hAnsi="华文中宋" w:eastAsia="仿宋_GB2312" w:cs="Times New Roman"/>
          <w:b w:val="0"/>
          <w:bCs w:val="0"/>
          <w:kern w:val="0"/>
          <w:sz w:val="32"/>
          <w:szCs w:val="32"/>
          <w:u w:val="none"/>
          <w:lang w:val="en-US" w:eastAsia="zh-CN" w:bidi="ar"/>
        </w:rPr>
        <w:t>特此报告。</w:t>
      </w:r>
    </w:p>
    <w:p>
      <w:pPr>
        <w:spacing w:line="360" w:lineRule="auto"/>
        <w:rPr>
          <w:rFonts w:hint="eastAsia" w:ascii="仿宋_GB2312" w:hAnsi="华文中宋" w:eastAsia="仿宋_GB2312" w:cs="Times New Roman"/>
          <w:b w:val="0"/>
          <w:bCs w:val="0"/>
          <w:kern w:val="0"/>
          <w:sz w:val="32"/>
          <w:szCs w:val="32"/>
          <w:u w:val="none"/>
          <w:lang w:val="en-US" w:eastAsia="zh-CN" w:bidi="ar"/>
        </w:rPr>
      </w:pPr>
    </w:p>
    <w:p>
      <w:pPr>
        <w:spacing w:line="360" w:lineRule="auto"/>
        <w:ind w:left="1920" w:hanging="1920" w:hangingChars="600"/>
        <w:rPr>
          <w:rFonts w:hint="eastAsia" w:ascii="仿宋_GB2312" w:hAnsi="华文中宋" w:eastAsia="仿宋_GB2312" w:cs="Times New Roman"/>
          <w:b w:val="0"/>
          <w:bCs w:val="0"/>
          <w:kern w:val="0"/>
          <w:sz w:val="32"/>
          <w:szCs w:val="32"/>
          <w:u w:val="none"/>
          <w:lang w:val="en-US" w:eastAsia="zh-CN" w:bidi="ar"/>
        </w:rPr>
      </w:pPr>
      <w:r>
        <w:rPr>
          <w:rFonts w:hint="eastAsia" w:ascii="仿宋_GB2312" w:hAnsi="华文中宋" w:eastAsia="仿宋_GB2312" w:cs="Times New Roman"/>
          <w:b w:val="0"/>
          <w:bCs w:val="0"/>
          <w:kern w:val="0"/>
          <w:sz w:val="32"/>
          <w:szCs w:val="32"/>
          <w:u w:val="none"/>
          <w:lang w:val="en-US" w:eastAsia="zh-CN" w:bidi="ar"/>
        </w:rPr>
        <w:t xml:space="preserve">    附件1：皖江工学院汽车服务工程学士学位授予专业简况表</w:t>
      </w:r>
    </w:p>
    <w:p>
      <w:pPr>
        <w:spacing w:line="360" w:lineRule="auto"/>
        <w:ind w:firstLine="640" w:firstLineChars="200"/>
        <w:rPr>
          <w:rFonts w:hint="eastAsia" w:ascii="仿宋_GB2312" w:hAnsi="华文中宋" w:eastAsia="仿宋_GB2312" w:cs="Times New Roman"/>
          <w:b w:val="0"/>
          <w:bCs w:val="0"/>
          <w:kern w:val="0"/>
          <w:sz w:val="32"/>
          <w:szCs w:val="32"/>
          <w:u w:val="none"/>
          <w:lang w:val="en-US" w:eastAsia="zh-CN" w:bidi="ar"/>
        </w:rPr>
      </w:pPr>
      <w:r>
        <w:rPr>
          <w:rFonts w:hint="eastAsia" w:ascii="仿宋_GB2312" w:hAnsi="华文中宋" w:eastAsia="仿宋_GB2312" w:cs="Times New Roman"/>
          <w:b w:val="0"/>
          <w:bCs w:val="0"/>
          <w:kern w:val="0"/>
          <w:sz w:val="32"/>
          <w:szCs w:val="32"/>
          <w:u w:val="none"/>
          <w:lang w:val="en-US" w:eastAsia="zh-CN" w:bidi="ar"/>
        </w:rPr>
        <w:t>附件2：皖江工学院学士学位授予专业汇总表</w:t>
      </w:r>
    </w:p>
    <w:p>
      <w:pPr>
        <w:spacing w:line="360" w:lineRule="auto"/>
        <w:ind w:left="6664" w:leftChars="2983" w:hanging="400" w:hangingChars="125"/>
        <w:rPr>
          <w:rFonts w:hint="eastAsia" w:ascii="仿宋" w:hAnsi="仿宋" w:eastAsia="仿宋" w:cs="仿宋"/>
          <w:sz w:val="32"/>
          <w:szCs w:val="32"/>
        </w:rPr>
      </w:pPr>
    </w:p>
    <w:p>
      <w:pPr>
        <w:spacing w:line="360" w:lineRule="auto"/>
        <w:ind w:left="6664" w:leftChars="2983" w:hanging="400" w:hangingChars="125"/>
        <w:rPr>
          <w:rFonts w:hint="eastAsia" w:ascii="仿宋" w:hAnsi="仿宋" w:eastAsia="仿宋" w:cs="仿宋"/>
          <w:sz w:val="32"/>
          <w:szCs w:val="32"/>
        </w:rPr>
      </w:pPr>
    </w:p>
    <w:p>
      <w:pPr>
        <w:spacing w:line="360" w:lineRule="auto"/>
        <w:ind w:left="6664" w:leftChars="2983" w:hanging="400" w:hangingChars="125"/>
        <w:rPr>
          <w:rFonts w:hint="eastAsia" w:ascii="仿宋" w:hAnsi="仿宋" w:eastAsia="仿宋" w:cs="仿宋"/>
          <w:sz w:val="32"/>
          <w:szCs w:val="32"/>
        </w:rPr>
      </w:pPr>
    </w:p>
    <w:p>
      <w:pPr>
        <w:spacing w:line="360" w:lineRule="auto"/>
        <w:ind w:left="6664" w:leftChars="2983" w:hanging="400" w:hangingChars="125"/>
        <w:rPr>
          <w:rFonts w:hint="eastAsia" w:ascii="仿宋" w:hAnsi="仿宋" w:eastAsia="仿宋" w:cs="仿宋"/>
          <w:sz w:val="32"/>
          <w:szCs w:val="32"/>
        </w:rPr>
      </w:pPr>
      <w:r>
        <w:rPr>
          <w:rFonts w:hint="eastAsia" w:ascii="仿宋" w:hAnsi="仿宋" w:eastAsia="仿宋" w:cs="仿宋"/>
          <w:sz w:val="32"/>
          <w:szCs w:val="32"/>
        </w:rPr>
        <w:t xml:space="preserve">皖江工学院 </w:t>
      </w:r>
    </w:p>
    <w:p>
      <w:pPr>
        <w:spacing w:line="360" w:lineRule="auto"/>
        <w:ind w:firstLine="5760" w:firstLineChars="1800"/>
        <w:rPr>
          <w:rFonts w:hint="eastAsia" w:ascii="仿宋" w:hAnsi="仿宋" w:eastAsia="仿宋" w:cs="仿宋"/>
          <w:sz w:val="32"/>
          <w:szCs w:val="32"/>
        </w:rPr>
      </w:pPr>
      <w:r>
        <w:rPr>
          <w:rFonts w:hint="eastAsia" w:ascii="仿宋" w:hAnsi="仿宋" w:eastAsia="仿宋" w:cs="仿宋"/>
          <w:sz w:val="32"/>
          <w:szCs w:val="32"/>
        </w:rPr>
        <w:t>2022年</w:t>
      </w:r>
      <w:bookmarkStart w:id="8" w:name="_GoBack"/>
      <w:bookmarkEnd w:id="8"/>
      <w:r>
        <w:rPr>
          <w:rFonts w:hint="eastAsia" w:ascii="仿宋" w:hAnsi="仿宋" w:eastAsia="仿宋" w:cs="仿宋"/>
          <w:sz w:val="32"/>
          <w:szCs w:val="32"/>
        </w:rPr>
        <w:t>5月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p>
    <w:p>
      <w:pPr>
        <w:spacing w:line="360" w:lineRule="auto"/>
        <w:jc w:val="left"/>
        <w:rPr>
          <w:rFonts w:hint="eastAsia" w:ascii="仿宋_GB2312" w:hAnsi="仿宋" w:eastAsia="仿宋_GB2312" w:cs="仿宋"/>
          <w:sz w:val="32"/>
          <w:szCs w:val="32"/>
        </w:rPr>
      </w:pPr>
    </w:p>
    <w:p>
      <w:pPr>
        <w:spacing w:line="360" w:lineRule="auto"/>
        <w:jc w:val="left"/>
        <w:rPr>
          <w:rFonts w:hint="eastAsia" w:ascii="仿宋_GB2312" w:hAnsi="仿宋" w:eastAsia="仿宋_GB2312" w:cs="仿宋"/>
          <w:sz w:val="32"/>
          <w:szCs w:val="32"/>
        </w:rPr>
      </w:pPr>
    </w:p>
    <w:p>
      <w:pPr>
        <w:spacing w:line="360" w:lineRule="auto"/>
        <w:jc w:val="left"/>
        <w:rPr>
          <w:rFonts w:hint="eastAsia" w:ascii="仿宋_GB2312" w:hAnsi="仿宋" w:eastAsia="仿宋_GB2312" w:cs="仿宋"/>
          <w:sz w:val="32"/>
          <w:szCs w:val="32"/>
        </w:rPr>
      </w:pPr>
    </w:p>
    <w:p>
      <w:pPr>
        <w:spacing w:line="480" w:lineRule="auto"/>
        <w:jc w:val="right"/>
        <w:rPr>
          <w:rFonts w:ascii="仿宋_GB2312" w:eastAsia="仿宋_GB2312"/>
          <w:sz w:val="32"/>
          <w:szCs w:val="32"/>
        </w:rPr>
      </w:pPr>
    </w:p>
    <w:p>
      <w:pPr>
        <w:spacing w:line="480" w:lineRule="auto"/>
        <w:jc w:val="right"/>
        <w:rPr>
          <w:rFonts w:ascii="仿宋_GB2312" w:eastAsia="仿宋_GB2312"/>
          <w:sz w:val="32"/>
          <w:szCs w:val="32"/>
        </w:rPr>
      </w:pPr>
    </w:p>
    <w:p>
      <w:pPr>
        <w:spacing w:line="480" w:lineRule="auto"/>
        <w:jc w:val="right"/>
        <w:rPr>
          <w:rFonts w:ascii="仿宋_GB2312" w:eastAsia="仿宋_GB2312"/>
          <w:sz w:val="32"/>
          <w:szCs w:val="32"/>
        </w:rPr>
      </w:pPr>
    </w:p>
    <w:p>
      <w:pPr>
        <w:spacing w:line="480" w:lineRule="auto"/>
        <w:jc w:val="right"/>
        <w:rPr>
          <w:rFonts w:ascii="仿宋_GB2312" w:eastAsia="仿宋_GB2312"/>
          <w:sz w:val="32"/>
          <w:szCs w:val="32"/>
        </w:rPr>
      </w:pPr>
    </w:p>
    <w:p>
      <w:pPr>
        <w:spacing w:line="480" w:lineRule="auto"/>
        <w:jc w:val="right"/>
        <w:rPr>
          <w:rFonts w:ascii="仿宋_GB2312" w:eastAsia="仿宋_GB2312"/>
          <w:sz w:val="32"/>
          <w:szCs w:val="32"/>
        </w:rPr>
      </w:pPr>
    </w:p>
    <w:p>
      <w:pPr>
        <w:spacing w:line="480" w:lineRule="auto"/>
        <w:jc w:val="right"/>
        <w:rPr>
          <w:rFonts w:ascii="仿宋_GB2312" w:eastAsia="仿宋_GB2312"/>
          <w:sz w:val="32"/>
          <w:szCs w:val="32"/>
        </w:rPr>
      </w:pPr>
    </w:p>
    <w:p>
      <w:pPr>
        <w:spacing w:line="480" w:lineRule="auto"/>
        <w:jc w:val="right"/>
        <w:rPr>
          <w:rFonts w:ascii="仿宋_GB2312" w:eastAsia="仿宋_GB2312"/>
          <w:sz w:val="32"/>
          <w:szCs w:val="32"/>
        </w:rPr>
      </w:pPr>
    </w:p>
    <w:p>
      <w:pPr>
        <w:spacing w:line="480" w:lineRule="auto"/>
        <w:jc w:val="right"/>
        <w:rPr>
          <w:rFonts w:ascii="仿宋_GB2312" w:eastAsia="仿宋_GB2312"/>
          <w:sz w:val="32"/>
          <w:szCs w:val="32"/>
        </w:rPr>
      </w:pPr>
    </w:p>
    <w:p>
      <w:pPr>
        <w:spacing w:line="480" w:lineRule="auto"/>
        <w:jc w:val="right"/>
        <w:rPr>
          <w:rFonts w:ascii="仿宋_GB2312" w:eastAsia="仿宋_GB2312"/>
          <w:sz w:val="32"/>
          <w:szCs w:val="32"/>
        </w:rPr>
      </w:pPr>
    </w:p>
    <w:p>
      <w:pPr>
        <w:ind w:firstLine="280" w:firstLineChars="100"/>
        <w:jc w:val="both"/>
        <w:rPr>
          <w:rFonts w:hint="eastAsia" w:ascii="仿宋_GB2312" w:hAnsi="华文中宋" w:eastAsia="仿宋_GB2312"/>
          <w:sz w:val="28"/>
          <w:szCs w:val="28"/>
        </w:rPr>
      </w:pPr>
    </w:p>
    <w:p>
      <w:pPr>
        <w:ind w:firstLine="280" w:firstLineChars="100"/>
        <w:jc w:val="both"/>
        <w:rPr>
          <w:rFonts w:hint="eastAsia" w:ascii="仿宋_GB2312" w:hAnsi="华文中宋" w:eastAsia="仿宋_GB2312"/>
          <w:sz w:val="28"/>
          <w:szCs w:val="28"/>
        </w:rPr>
      </w:pPr>
    </w:p>
    <w:p>
      <w:pPr>
        <w:ind w:firstLine="280" w:firstLineChars="100"/>
        <w:jc w:val="both"/>
        <w:rPr>
          <w:rFonts w:hint="eastAsia" w:ascii="仿宋_GB2312" w:hAnsi="华文中宋" w:eastAsia="仿宋_GB2312"/>
          <w:sz w:val="28"/>
          <w:szCs w:val="28"/>
        </w:rPr>
      </w:pPr>
    </w:p>
    <w:p>
      <w:pPr>
        <w:ind w:firstLine="280" w:firstLineChars="100"/>
        <w:jc w:val="both"/>
        <w:rPr>
          <w:rFonts w:hint="eastAsia" w:ascii="仿宋_GB2312" w:hAnsi="华文中宋" w:eastAsia="仿宋_GB2312"/>
          <w:sz w:val="28"/>
          <w:szCs w:val="28"/>
        </w:rPr>
      </w:pPr>
    </w:p>
    <w:p>
      <w:pPr>
        <w:jc w:val="both"/>
        <w:rPr>
          <w:rFonts w:hint="eastAsia" w:ascii="仿宋" w:hAnsi="仿宋" w:eastAsia="仿宋" w:cs="仿宋"/>
          <w:sz w:val="28"/>
          <w:szCs w:val="28"/>
        </w:rPr>
      </w:pPr>
    </w:p>
    <w:p>
      <w:pPr>
        <w:ind w:firstLine="280" w:firstLineChars="100"/>
        <w:jc w:val="both"/>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59264;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mcNg9YAAAAIAQAADwAAAAAAAAABACAAAAAiAAAAZHJzL2Rvd25yZXYueG1sUEsBAhQAFAAA&#10;AAgAh07iQGq+tjTxAQAA6AMAAA4AAAAAAAAAAQAgAAAAJQEAAGRycy9lMm9Eb2MueG1sUEsFBgAA&#10;AAAGAAYAWQEAAIgFA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atecf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sz w:val="28"/>
          <w:szCs w:val="28"/>
        </w:rPr>
        <w:t xml:space="preserve">皖江工学院院务部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2022年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w:t>
      </w:r>
      <w:r>
        <w:rPr>
          <w:rFonts w:hint="eastAsia" w:ascii="仿宋" w:hAnsi="仿宋" w:eastAsia="仿宋" w:cs="仿宋"/>
          <w:sz w:val="28"/>
          <w:szCs w:val="28"/>
        </w:rPr>
        <w:t>日印发</w:t>
      </w:r>
    </w:p>
    <w:p>
      <w:pPr>
        <w:jc w:val="both"/>
        <w:rPr>
          <w:rFonts w:hint="default" w:asciiTheme="majorEastAsia" w:hAnsiTheme="majorEastAsia" w:eastAsiaTheme="majorEastAsia"/>
          <w:b w:val="0"/>
          <w:bCs/>
          <w:sz w:val="24"/>
          <w:szCs w:val="22"/>
          <w:lang w:val="en-US" w:eastAsia="zh-CN"/>
        </w:rPr>
      </w:pPr>
      <w:r>
        <w:rPr>
          <w:rFonts w:hint="eastAsia" w:asciiTheme="majorEastAsia" w:hAnsiTheme="majorEastAsia" w:eastAsiaTheme="majorEastAsia"/>
          <w:b w:val="0"/>
          <w:bCs/>
          <w:sz w:val="24"/>
          <w:szCs w:val="22"/>
          <w:lang w:eastAsia="zh-CN"/>
        </w:rPr>
        <w:t>附件</w:t>
      </w:r>
      <w:r>
        <w:rPr>
          <w:rFonts w:hint="eastAsia" w:asciiTheme="majorEastAsia" w:hAnsiTheme="majorEastAsia" w:eastAsiaTheme="majorEastAsia"/>
          <w:b w:val="0"/>
          <w:bCs/>
          <w:sz w:val="24"/>
          <w:szCs w:val="22"/>
          <w:lang w:val="en-US" w:eastAsia="zh-CN"/>
        </w:rPr>
        <w:t>1</w:t>
      </w:r>
    </w:p>
    <w:p>
      <w:pPr>
        <w:spacing w:line="360" w:lineRule="auto"/>
        <w:jc w:val="center"/>
        <w:rPr>
          <w:rFonts w:ascii="Times New Roman" w:hAnsi="Times New Roman" w:cs="Times New Roman"/>
          <w:b/>
          <w:bCs/>
          <w:color w:val="000000" w:themeColor="text1"/>
          <w:sz w:val="72"/>
          <w:szCs w:val="72"/>
          <w14:textFill>
            <w14:solidFill>
              <w14:schemeClr w14:val="tx1"/>
            </w14:solidFill>
          </w14:textFill>
        </w:rPr>
      </w:pPr>
    </w:p>
    <w:p>
      <w:pPr>
        <w:spacing w:line="360" w:lineRule="auto"/>
        <w:jc w:val="center"/>
        <w:rPr>
          <w:rFonts w:ascii="Times New Roman" w:hAnsi="Times New Roman" w:cs="Times New Roman"/>
          <w:b/>
          <w:bCs/>
          <w:color w:val="000000" w:themeColor="text1"/>
          <w:sz w:val="72"/>
          <w:szCs w:val="72"/>
          <w14:textFill>
            <w14:solidFill>
              <w14:schemeClr w14:val="tx1"/>
            </w14:solidFill>
          </w14:textFill>
        </w:rPr>
      </w:pPr>
      <w:r>
        <w:rPr>
          <w:rFonts w:ascii="Times New Roman" w:hAnsi="Times New Roman" w:cs="Times New Roman"/>
          <w:b/>
          <w:bCs/>
          <w:color w:val="000000" w:themeColor="text1"/>
          <w:sz w:val="72"/>
          <w:szCs w:val="72"/>
          <w14:textFill>
            <w14:solidFill>
              <w14:schemeClr w14:val="tx1"/>
            </w14:solidFill>
          </w14:textFill>
        </w:rPr>
        <w:t>皖江工学院</w:t>
      </w:r>
    </w:p>
    <w:p>
      <w:pPr>
        <w:spacing w:line="360" w:lineRule="auto"/>
        <w:jc w:val="center"/>
        <w:rPr>
          <w:rFonts w:ascii="Times New Roman" w:hAnsi="Times New Roman" w:cs="Times New Roman"/>
          <w:b/>
          <w:bCs/>
          <w:color w:val="000000" w:themeColor="text1"/>
          <w:sz w:val="72"/>
          <w:szCs w:val="72"/>
          <w14:textFill>
            <w14:solidFill>
              <w14:schemeClr w14:val="tx1"/>
            </w14:solidFill>
          </w14:textFill>
        </w:rPr>
      </w:pPr>
    </w:p>
    <w:p>
      <w:pPr>
        <w:spacing w:line="360" w:lineRule="auto"/>
        <w:jc w:val="center"/>
        <w:rPr>
          <w:rFonts w:ascii="Times New Roman" w:hAnsi="Times New Roman" w:cs="Times New Roman"/>
          <w:b/>
          <w:bCs/>
          <w:color w:val="000000" w:themeColor="text1"/>
          <w:sz w:val="56"/>
          <w:szCs w:val="72"/>
          <w14:textFill>
            <w14:solidFill>
              <w14:schemeClr w14:val="tx1"/>
            </w14:solidFill>
          </w14:textFill>
        </w:rPr>
      </w:pPr>
      <w:r>
        <w:rPr>
          <w:rFonts w:ascii="Times New Roman" w:hAnsi="Times New Roman" w:cs="Times New Roman"/>
          <w:b/>
          <w:bCs/>
          <w:color w:val="000000" w:themeColor="text1"/>
          <w:sz w:val="56"/>
          <w:szCs w:val="72"/>
          <w14:textFill>
            <w14:solidFill>
              <w14:schemeClr w14:val="tx1"/>
            </w14:solidFill>
          </w14:textFill>
        </w:rPr>
        <w:t>汽车服务工程专业(080208)</w:t>
      </w:r>
    </w:p>
    <w:p>
      <w:pPr>
        <w:spacing w:line="360" w:lineRule="auto"/>
        <w:jc w:val="center"/>
        <w:rPr>
          <w:rFonts w:ascii="Times New Roman" w:hAnsi="Times New Roman" w:cs="Times New Roman"/>
          <w:b/>
          <w:bCs/>
          <w:color w:val="000000" w:themeColor="text1"/>
          <w:sz w:val="72"/>
          <w:szCs w:val="72"/>
          <w14:textFill>
            <w14:solidFill>
              <w14:schemeClr w14:val="tx1"/>
            </w14:solidFill>
          </w14:textFill>
        </w:rPr>
      </w:pPr>
    </w:p>
    <w:p>
      <w:pPr>
        <w:spacing w:line="360" w:lineRule="auto"/>
        <w:jc w:val="center"/>
        <w:rPr>
          <w:rFonts w:ascii="Times New Roman" w:hAnsi="Times New Roman" w:cs="Times New Roman"/>
          <w:b/>
          <w:bCs/>
          <w:color w:val="000000" w:themeColor="text1"/>
          <w:sz w:val="56"/>
          <w:szCs w:val="72"/>
          <w14:textFill>
            <w14:solidFill>
              <w14:schemeClr w14:val="tx1"/>
            </w14:solidFill>
          </w14:textFill>
        </w:rPr>
      </w:pPr>
      <w:r>
        <w:rPr>
          <w:rFonts w:ascii="Times New Roman" w:hAnsi="Times New Roman" w:cs="Times New Roman"/>
          <w:b/>
          <w:bCs/>
          <w:color w:val="000000" w:themeColor="text1"/>
          <w:sz w:val="56"/>
          <w:szCs w:val="72"/>
          <w14:textFill>
            <w14:solidFill>
              <w14:schemeClr w14:val="tx1"/>
            </w14:solidFill>
          </w14:textFill>
        </w:rPr>
        <w:t>学士学位授予专业申请</w:t>
      </w:r>
    </w:p>
    <w:p>
      <w:pPr>
        <w:spacing w:line="360" w:lineRule="auto"/>
        <w:jc w:val="center"/>
        <w:rPr>
          <w:rFonts w:ascii="Times New Roman" w:hAnsi="Times New Roman" w:cs="Times New Roman"/>
          <w:b/>
          <w:bCs/>
          <w:color w:val="000000" w:themeColor="text1"/>
          <w:sz w:val="30"/>
          <w:szCs w:val="30"/>
          <w14:textFill>
            <w14:solidFill>
              <w14:schemeClr w14:val="tx1"/>
            </w14:solidFill>
          </w14:textFill>
        </w:rPr>
      </w:pPr>
      <w:r>
        <w:rPr>
          <w:rFonts w:ascii="Times New Roman" w:hAnsi="Times New Roman" w:cs="Times New Roman"/>
          <w:b/>
          <w:bCs/>
          <w:color w:val="000000" w:themeColor="text1"/>
          <w:sz w:val="30"/>
          <w:szCs w:val="30"/>
          <w14:textFill>
            <w14:solidFill>
              <w14:schemeClr w14:val="tx1"/>
            </w14:solidFill>
          </w14:textFill>
        </w:rPr>
        <w:drawing>
          <wp:inline distT="0" distB="0" distL="0" distR="0">
            <wp:extent cx="2454910" cy="2454910"/>
            <wp:effectExtent l="0" t="0" r="2540" b="2540"/>
            <wp:docPr id="2" name="图片 2" descr="E:\证书扫描件\QQ图片20200914144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证书扫描件\QQ图片2020091414471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455200" cy="2455200"/>
                    </a:xfrm>
                    <a:prstGeom prst="rect">
                      <a:avLst/>
                    </a:prstGeom>
                    <a:noFill/>
                    <a:ln>
                      <a:noFill/>
                    </a:ln>
                  </pic:spPr>
                </pic:pic>
              </a:graphicData>
            </a:graphic>
          </wp:inline>
        </w:drawing>
      </w:r>
    </w:p>
    <w:p>
      <w:pPr>
        <w:spacing w:line="360" w:lineRule="auto"/>
        <w:jc w:val="center"/>
        <w:rPr>
          <w:rFonts w:ascii="Times New Roman" w:hAnsi="Times New Roman" w:cs="Times New Roman"/>
          <w:b/>
          <w:bCs/>
          <w:color w:val="000000" w:themeColor="text1"/>
          <w:sz w:val="30"/>
          <w:szCs w:val="30"/>
          <w14:textFill>
            <w14:solidFill>
              <w14:schemeClr w14:val="tx1"/>
            </w14:solidFill>
          </w14:textFill>
        </w:rPr>
      </w:pPr>
    </w:p>
    <w:p>
      <w:pPr>
        <w:spacing w:line="360" w:lineRule="auto"/>
        <w:jc w:val="center"/>
        <w:rPr>
          <w:rFonts w:ascii="Times New Roman" w:hAnsi="Times New Roman" w:cs="Times New Roman"/>
          <w:b/>
          <w:bCs/>
          <w:color w:val="000000" w:themeColor="text1"/>
          <w:sz w:val="30"/>
          <w:szCs w:val="30"/>
          <w14:textFill>
            <w14:solidFill>
              <w14:schemeClr w14:val="tx1"/>
            </w14:solidFill>
          </w14:textFill>
        </w:rPr>
      </w:pPr>
    </w:p>
    <w:p>
      <w:pPr>
        <w:spacing w:line="360" w:lineRule="auto"/>
        <w:jc w:val="center"/>
        <w:rPr>
          <w:rFonts w:ascii="Times New Roman" w:hAnsi="Times New Roman" w:cs="Times New Roman"/>
          <w:b/>
          <w:bCs/>
          <w:color w:val="000000" w:themeColor="text1"/>
          <w:sz w:val="30"/>
          <w:szCs w:val="30"/>
          <w14:textFill>
            <w14:solidFill>
              <w14:schemeClr w14:val="tx1"/>
            </w14:solidFill>
          </w14:textFill>
        </w:rPr>
      </w:pPr>
    </w:p>
    <w:p>
      <w:pPr>
        <w:spacing w:line="360" w:lineRule="auto"/>
        <w:jc w:val="center"/>
        <w:rPr>
          <w:rFonts w:ascii="Times New Roman" w:hAnsi="Times New Roman" w:cs="Times New Roman"/>
          <w:b/>
          <w:bCs/>
          <w:color w:val="000000" w:themeColor="text1"/>
          <w:sz w:val="30"/>
          <w:szCs w:val="30"/>
          <w14:textFill>
            <w14:solidFill>
              <w14:schemeClr w14:val="tx1"/>
            </w14:solidFill>
          </w14:textFill>
        </w:rPr>
      </w:pPr>
      <w:r>
        <w:rPr>
          <w:rFonts w:ascii="Times New Roman" w:hAnsi="Times New Roman" w:cs="Times New Roman"/>
          <w:b/>
          <w:bCs/>
          <w:color w:val="000000" w:themeColor="text1"/>
          <w:sz w:val="30"/>
          <w:szCs w:val="30"/>
          <w14:textFill>
            <w14:solidFill>
              <w14:schemeClr w14:val="tx1"/>
            </w14:solidFill>
          </w14:textFill>
        </w:rPr>
        <w:t>机械工程学院</w:t>
      </w:r>
    </w:p>
    <w:p>
      <w:pPr>
        <w:spacing w:line="360" w:lineRule="auto"/>
        <w:jc w:val="center"/>
        <w:rPr>
          <w:rFonts w:ascii="Times New Roman" w:hAnsi="Times New Roman" w:cs="Times New Roman"/>
          <w:b/>
          <w:bCs/>
          <w:color w:val="000000" w:themeColor="text1"/>
          <w:sz w:val="30"/>
          <w:szCs w:val="30"/>
          <w14:textFill>
            <w14:solidFill>
              <w14:schemeClr w14:val="tx1"/>
            </w14:solidFill>
          </w14:textFill>
        </w:rPr>
      </w:pPr>
      <w:r>
        <w:rPr>
          <w:rFonts w:ascii="Times New Roman" w:hAnsi="Times New Roman" w:cs="Times New Roman"/>
          <w:b/>
          <w:bCs/>
          <w:color w:val="000000" w:themeColor="text1"/>
          <w:sz w:val="30"/>
          <w:szCs w:val="30"/>
          <w14:textFill>
            <w14:solidFill>
              <w14:schemeClr w14:val="tx1"/>
            </w14:solidFill>
          </w14:textFill>
        </w:rPr>
        <w:t>2022年6月</w:t>
      </w:r>
    </w:p>
    <w:p>
      <w:pPr>
        <w:spacing w:line="360" w:lineRule="auto"/>
        <w:rPr>
          <w:rFonts w:ascii="Times New Roman" w:hAnsi="Times New Roman" w:cs="Times New Roman"/>
          <w:color w:val="000000" w:themeColor="text1"/>
          <w14:textFill>
            <w14:solidFill>
              <w14:schemeClr w14:val="tx1"/>
            </w14:solidFill>
          </w14:textFill>
        </w:rPr>
      </w:pPr>
    </w:p>
    <w:p>
      <w:pPr>
        <w:widowControl/>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spacing w:line="360" w:lineRule="auto"/>
        <w:jc w:val="center"/>
        <w:rPr>
          <w:rFonts w:ascii="Times New Roman" w:hAnsi="Times New Roman" w:cs="Times New Roman"/>
          <w:b/>
          <w:color w:val="000000" w:themeColor="text1"/>
          <w:sz w:val="36"/>
          <w:szCs w:val="36"/>
          <w14:textFill>
            <w14:solidFill>
              <w14:schemeClr w14:val="tx1"/>
            </w14:solidFill>
          </w14:textFill>
        </w:rPr>
      </w:pPr>
      <w:r>
        <w:rPr>
          <w:rFonts w:ascii="Times New Roman" w:hAnsi="Times New Roman" w:cs="Times New Roman"/>
          <w:b/>
          <w:color w:val="000000" w:themeColor="text1"/>
          <w:sz w:val="36"/>
          <w:szCs w:val="36"/>
          <w14:textFill>
            <w14:solidFill>
              <w14:schemeClr w14:val="tx1"/>
            </w14:solidFill>
          </w14:textFill>
        </w:rPr>
        <w:t>皖江工学院</w:t>
      </w:r>
    </w:p>
    <w:p>
      <w:pPr>
        <w:spacing w:line="360" w:lineRule="auto"/>
        <w:jc w:val="center"/>
        <w:rPr>
          <w:rFonts w:ascii="Times New Roman" w:hAnsi="Times New Roman" w:cs="Times New Roman"/>
          <w:b/>
          <w:color w:val="000000" w:themeColor="text1"/>
          <w:sz w:val="36"/>
          <w:szCs w:val="36"/>
          <w14:textFill>
            <w14:solidFill>
              <w14:schemeClr w14:val="tx1"/>
            </w14:solidFill>
          </w14:textFill>
        </w:rPr>
      </w:pPr>
      <w:r>
        <w:rPr>
          <w:rFonts w:ascii="Times New Roman" w:hAnsi="Times New Roman" w:cs="Times New Roman"/>
          <w:b/>
          <w:color w:val="000000" w:themeColor="text1"/>
          <w:sz w:val="36"/>
          <w:szCs w:val="36"/>
          <w14:textFill>
            <w14:solidFill>
              <w14:schemeClr w14:val="tx1"/>
            </w14:solidFill>
          </w14:textFill>
        </w:rPr>
        <w:t>汽车服务工程（080208）学士学位授予专业申请</w:t>
      </w:r>
    </w:p>
    <w:p>
      <w:pPr>
        <w:spacing w:line="360" w:lineRule="auto"/>
        <w:jc w:val="center"/>
        <w:rPr>
          <w:rFonts w:ascii="Times New Roman" w:hAnsi="Times New Roman" w:cs="Times New Roman"/>
          <w:b/>
          <w:color w:val="000000" w:themeColor="text1"/>
          <w:sz w:val="36"/>
          <w:szCs w:val="36"/>
          <w14:textFill>
            <w14:solidFill>
              <w14:schemeClr w14:val="tx1"/>
            </w14:solidFill>
          </w14:textFill>
        </w:rPr>
      </w:pP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皖江工学院汽车服务工程专业于2018年开始招生，进行本科人才培养。汽车服务工程专业隶属于机械工程学院，学院本着育人为本、德育为先的教育理念，参照国内双一流大学汽车服务工程专业在人才培养中总结的经验，结合本校生源及实际情况，联系学生基础素质情况，不断研究教学内容和教学方法，发展成皖江工学院特有的教学理念和培养模式。</w:t>
      </w:r>
      <w:r>
        <w:rPr>
          <w:rFonts w:ascii="Times New Roman" w:hAnsi="Times New Roman" w:cs="Times New Roman"/>
          <w:color w:val="000000" w:themeColor="text1"/>
          <w:sz w:val="24"/>
          <w14:textFill>
            <w14:solidFill>
              <w14:schemeClr w14:val="tx1"/>
            </w14:solidFill>
          </w14:textFill>
        </w:rPr>
        <w:t>重点专业建设及人才培养方案、教师队伍、教学资源及利用、教学过程及管理方面进行阐述，总结本专业以来的主要工作。</w:t>
      </w:r>
    </w:p>
    <w:p>
      <w:pPr>
        <w:spacing w:line="360" w:lineRule="auto"/>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（一）专业建设及人才培养方案</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汽车服务工程专业旨在满足现代制造业及汽车市场对人才的需求。通过广泛调研汽车企业包括南汽、江淮汽车、蔚来汽车等传统燃油车企业和新能源汽车企业对人才的需求，调研就业市场广需，需要掌握机械及汽车的传统制造行业基础知识，熟悉现代管理模式、能运用互联网技术的多方面人才，力求把汽车服务工程专业学生培养成符合需要的应用型本科人才。</w:t>
      </w:r>
    </w:p>
    <w:p>
      <w:pPr>
        <w:spacing w:line="360" w:lineRule="auto"/>
        <w:ind w:firstLine="482" w:firstLineChars="200"/>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1.1专业建设</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1.培养措施</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（1）认真执行教学计划，有力保证人才培养，汽车服务工程专业283名同学得到了德、智、体、美、劳的全面素质提高。</w:t>
      </w:r>
    </w:p>
    <w:p>
      <w:pPr>
        <w:widowControl/>
        <w:shd w:val="solid" w:color="FFFFFF" w:fill="auto"/>
        <w:autoSpaceDN w:val="0"/>
        <w:spacing w:line="360" w:lineRule="auto"/>
        <w:ind w:firstLine="480"/>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（2）重视对学生基础知识、专业知识及实践技能的培养。</w:t>
      </w:r>
    </w:p>
    <w:p>
      <w:pPr>
        <w:widowControl/>
        <w:shd w:val="solid" w:color="FFFFFF" w:fill="auto"/>
        <w:autoSpaceDN w:val="0"/>
        <w:spacing w:line="360" w:lineRule="auto"/>
        <w:ind w:firstLine="480"/>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（3）本专业重视学风建设，通过学风建设活动，使学生乐学、勤学、会学，形成求真务实，笃学创新的良好学风。</w:t>
      </w:r>
    </w:p>
    <w:p>
      <w:pPr>
        <w:widowControl/>
        <w:shd w:val="solid" w:color="FFFFFF" w:fill="auto"/>
        <w:autoSpaceDN w:val="0"/>
        <w:spacing w:line="360" w:lineRule="auto"/>
        <w:ind w:firstLine="480"/>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（4）在完善课堂教学的同时，依托院党总支、院团委，开展学生党建工作。</w:t>
      </w:r>
    </w:p>
    <w:p>
      <w:pPr>
        <w:widowControl/>
        <w:shd w:val="solid" w:color="FFFFFF" w:fill="auto"/>
        <w:autoSpaceDN w:val="0"/>
        <w:spacing w:line="360" w:lineRule="auto"/>
        <w:ind w:firstLine="480"/>
        <w:jc w:val="lef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2.培养成效</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（1）汽车服务工程学生修满毕业学分，达到人才培养方案要求，其中CET-4考试通过31人，达到45%，另有3人通过CET-6。9人通过计算机二级。</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汽车服务专业学生掌握了多项实践技能：金属材料加工、数控机床加工操作、汽车发动机拆装、常用汽车拆装工具使用，汽车售后保养与维护、汽车常见故障诊断等，真正做到理论联系实习，达到市场对人才的需求。</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3）专业有27人在全国和安徽省大赛等省级及以上各类比赛中获奖：互联网+”创新创业大赛三等奖、“互联网+”优秀奖、2021全国高校青年防洪防汛志愿者活动杰出青年、词达人英语校级“二等奖”、第九届“挑战杯”中国联通大安徽省创业计划大赛铜奖、第九届“挑战杯”中国联通大安徽省创业计划大赛铜奖、全国大学生创新设计大赛校赛二等奖、“尺规成图”大赛二等奖、第十四届“ICAN”国际创新创业大赛安徽赛区三等奖、三等奖全国大学生环保知识竞赛“优秀奖”、全国大学生英语竞赛省二等奖阳光杯三等奖创新创业大赛三等奖等。共有近百人次获得学院各类奖学金。</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（4）汽车服务工程专业截至目前共发展党员及预备党员14名。</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通过四年的人才培养，汽车服务工程专业学生达到本科层次要求，专业建设规划和人才培养合理。</w:t>
      </w:r>
    </w:p>
    <w:p>
      <w:pPr>
        <w:widowControl/>
        <w:shd w:val="solid" w:color="FFFFFF" w:fill="auto"/>
        <w:autoSpaceDN w:val="0"/>
        <w:spacing w:line="360" w:lineRule="auto"/>
        <w:ind w:firstLine="472" w:firstLineChars="196"/>
        <w:jc w:val="left"/>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1.2人才培养方案</w:t>
      </w:r>
      <w:bookmarkStart w:id="0" w:name="_Toc440442450"/>
      <w:bookmarkStart w:id="1" w:name="_Toc463773542"/>
    </w:p>
    <w:p>
      <w:pPr>
        <w:widowControl/>
        <w:shd w:val="solid" w:color="FFFFFF" w:fill="auto"/>
        <w:autoSpaceDN w:val="0"/>
        <w:spacing w:line="360" w:lineRule="auto"/>
        <w:ind w:firstLine="470" w:firstLineChars="196"/>
        <w:jc w:val="left"/>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1.培养目标</w:t>
      </w:r>
      <w:bookmarkEnd w:id="0"/>
      <w:bookmarkEnd w:id="1"/>
    </w:p>
    <w:p>
      <w:pPr>
        <w:pStyle w:val="9"/>
        <w:spacing w:line="360" w:lineRule="auto"/>
        <w:ind w:left="0" w:firstLine="480" w:firstLineChars="200"/>
        <w:rPr>
          <w:rFonts w:eastAsiaTheme="minorEastAsia"/>
          <w:color w:val="000000" w:themeColor="text1"/>
          <w:kern w:val="2"/>
          <w:sz w:val="24"/>
          <w:szCs w:val="24"/>
          <w:lang w:eastAsia="zh-CN"/>
          <w14:textFill>
            <w14:solidFill>
              <w14:schemeClr w14:val="tx1"/>
            </w14:solidFill>
          </w14:textFill>
        </w:rPr>
      </w:pPr>
      <w:bookmarkStart w:id="2" w:name="_Toc24645"/>
      <w:r>
        <w:rPr>
          <w:rFonts w:eastAsiaTheme="minorEastAsia"/>
          <w:color w:val="000000" w:themeColor="text1"/>
          <w:kern w:val="2"/>
          <w:sz w:val="24"/>
          <w:szCs w:val="24"/>
          <w:lang w:eastAsia="zh-CN"/>
          <w14:textFill>
            <w14:solidFill>
              <w14:schemeClr w14:val="tx1"/>
            </w14:solidFill>
          </w14:textFill>
        </w:rPr>
        <w:t>本专业培养德智体美劳全面发展，掌握自然科学、人文和社会科学知识，具有坚实的汽车服务工程技术基础理论、专业知识和实践能力。具备汽车金融、营销、试验、保险、物流、售后服务、汽车配件、技术开发和经营管理等方面的知识，适应社会经济发展的需要，得到基本工程技能训练，基础扎实、知识面宽、实践能力强、综合素质高，具有创新意识和国际视野，人文素养良好，专业知识扎实的应用型工程技术人才和经营管理人才。</w:t>
      </w:r>
    </w:p>
    <w:p>
      <w:pPr>
        <w:pStyle w:val="9"/>
        <w:spacing w:line="360" w:lineRule="auto"/>
        <w:ind w:left="0" w:firstLine="480" w:firstLineChars="200"/>
        <w:rPr>
          <w:rFonts w:eastAsiaTheme="minorEastAsia"/>
          <w:color w:val="000000" w:themeColor="text1"/>
          <w:kern w:val="2"/>
          <w:sz w:val="24"/>
          <w:szCs w:val="24"/>
          <w:lang w:eastAsia="zh-CN"/>
          <w14:textFill>
            <w14:solidFill>
              <w14:schemeClr w14:val="tx1"/>
            </w14:solidFill>
          </w14:textFill>
        </w:rPr>
      </w:pPr>
      <w:r>
        <w:rPr>
          <w:rFonts w:eastAsiaTheme="minorEastAsia"/>
          <w:color w:val="000000" w:themeColor="text1"/>
          <w:kern w:val="2"/>
          <w:sz w:val="24"/>
          <w:szCs w:val="24"/>
          <w:lang w:eastAsia="zh-CN"/>
          <w14:textFill>
            <w14:solidFill>
              <w14:schemeClr w14:val="tx1"/>
            </w14:solidFill>
          </w14:textFill>
        </w:rPr>
        <w:t>学生毕业后5年左右工作，具备胜任工程师或相近职称的专业技术能力和条件，能够成为工作团队的核心成员或领导者，并能够通过继续教育或其他终身学习途径不断拓展知识和提升能力，努力成为企业的中层管理者或工程技术人员。</w:t>
      </w:r>
    </w:p>
    <w:bookmarkEnd w:id="2"/>
    <w:p>
      <w:pPr>
        <w:pStyle w:val="9"/>
        <w:spacing w:line="360" w:lineRule="auto"/>
        <w:ind w:left="0" w:firstLine="480" w:firstLineChars="200"/>
        <w:rPr>
          <w:rFonts w:eastAsiaTheme="minorEastAsia"/>
          <w:bCs/>
          <w:color w:val="000000" w:themeColor="text1"/>
          <w:sz w:val="24"/>
          <w:szCs w:val="24"/>
          <w14:textFill>
            <w14:solidFill>
              <w14:schemeClr w14:val="tx1"/>
            </w14:solidFill>
          </w14:textFill>
        </w:rPr>
      </w:pPr>
      <w:r>
        <w:rPr>
          <w:rFonts w:eastAsiaTheme="minorEastAsia"/>
          <w:bCs/>
          <w:color w:val="000000" w:themeColor="text1"/>
          <w:sz w:val="24"/>
          <w:szCs w:val="24"/>
          <w:lang w:eastAsia="zh-CN"/>
          <w14:textFill>
            <w14:solidFill>
              <w14:schemeClr w14:val="tx1"/>
            </w14:solidFill>
          </w14:textFill>
        </w:rPr>
        <w:t>2.</w:t>
      </w:r>
      <w:r>
        <w:rPr>
          <w:rFonts w:eastAsiaTheme="minorEastAsia"/>
          <w:bCs/>
          <w:color w:val="000000" w:themeColor="text1"/>
          <w:sz w:val="24"/>
          <w:szCs w:val="24"/>
          <w14:textFill>
            <w14:solidFill>
              <w14:schemeClr w14:val="tx1"/>
            </w14:solidFill>
          </w14:textFill>
        </w:rPr>
        <w:t>毕业要求</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本专业人才培养的毕业要求：</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（1）工程知识：能够将数学、自然科学、工程基础和汽车构造、原理、营销与维修专业知识用于解决复杂汽车相关工程问题。</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（2）问题分析：能够应用数学、自然科学和工程科学的基本原理，识别、表达、并通过文献研究分析汽车发动机性能、变速器、底盘、排放等工程问题，以获得有效结论。</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设计/开发解决方案：能够设计针对车辆工程、汽车服务工程复杂问题的解决方案，设计满足特定需求的系统、单元（部件）或工艺流程，并能够在设计环节中体现创新意识，考虑社会、健康、安全、法律、文化以及环境等因素。</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（4）研究：能够基于科学原理并采用科学方法对汽车服务工程问题进行研究，包括设计实验、分析与解释数据、并通过信息综合得到合理有效的结论。</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（5）使用现代工具：能够针对汽车设计、汽车营销、汽车售后市场等工程问题，开发、选择与使用恰当的技术、资源、现代工程工具和信息技术工具，包括对复杂工程问题的预测与模拟，并能够理解其局限性。</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工程与社会：能够基于工程相关背景知识进行合理分析，评价专业汽车工程实践和汽车市场竞争、营销渠道、汽车产业布局等工程问题解决方案对社会、健康、安全、法律以及文化的影响，并理解应承担的责任。</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（7）环境和可持续发展：能够理解和评价针对汽车燃料能源的使用和污染物排放的工程问题的工程实践对环境、社会可持续发展的影响。</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（8）职业规范：具有人文社会科学素养、社会责任感，能够在工程实践中理解并遵守工程职业道德和规范，履行责任。</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（9）个人和团队：能够在多学科背景下的团队中承担个体、团队成员以及负责人的角色。</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（10）沟通：能够就汽车工程问题与业界同行及社会公众进行有效沟 通和交流，包括撰写报告和设计文稿、陈述发言、清晰表达或回应指令， 并具备一定的国际视野，能够在跨文化背景下进行沟通和交流。</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（11）项目管理：理解并掌握工程管理原理与经济决策方法，并能在多学科环境中应用。</w:t>
      </w:r>
    </w:p>
    <w:p>
      <w:pPr>
        <w:spacing w:line="360" w:lineRule="auto"/>
        <w:ind w:firstLine="4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（12）终身学习：具有自主学习和终身学习的意识，有不断学习和适应发展的能力。</w:t>
      </w:r>
    </w:p>
    <w:p>
      <w:pPr>
        <w:spacing w:line="360" w:lineRule="auto"/>
        <w:ind w:firstLine="470" w:firstLineChars="196"/>
        <w:outlineLvl w:val="1"/>
        <w:rPr>
          <w:rFonts w:ascii="Times New Roman" w:hAnsi="Times New Roman" w:cs="Times New Roman"/>
          <w:bCs/>
          <w:color w:val="000000" w:themeColor="text1"/>
          <w:sz w:val="24"/>
          <w:szCs w:val="24"/>
          <w14:textFill>
            <w14:solidFill>
              <w14:schemeClr w14:val="tx1"/>
            </w14:solidFill>
          </w14:textFill>
        </w:rPr>
      </w:pPr>
      <w:bookmarkStart w:id="3" w:name="_Toc465338309"/>
      <w:r>
        <w:rPr>
          <w:rFonts w:ascii="Times New Roman" w:hAnsi="Times New Roman" w:cs="Times New Roman"/>
          <w:bCs/>
          <w:color w:val="000000" w:themeColor="text1"/>
          <w:sz w:val="24"/>
          <w:szCs w:val="24"/>
          <w14:textFill>
            <w14:solidFill>
              <w14:schemeClr w14:val="tx1"/>
            </w14:solidFill>
          </w14:textFill>
        </w:rPr>
        <w:t>3.主干学科</w:t>
      </w:r>
    </w:p>
    <w:p>
      <w:pPr>
        <w:pStyle w:val="9"/>
        <w:spacing w:line="360" w:lineRule="auto"/>
        <w:ind w:left="0" w:firstLine="480" w:firstLineChars="200"/>
        <w:rPr>
          <w:rFonts w:eastAsiaTheme="minorEastAsia"/>
          <w:color w:val="000000" w:themeColor="text1"/>
          <w:sz w:val="24"/>
          <w:szCs w:val="24"/>
          <w:lang w:eastAsia="zh-CN"/>
          <w14:textFill>
            <w14:solidFill>
              <w14:schemeClr w14:val="tx1"/>
            </w14:solidFill>
          </w14:textFill>
        </w:rPr>
      </w:pPr>
      <w:r>
        <w:rPr>
          <w:rFonts w:eastAsiaTheme="minorEastAsia"/>
          <w:color w:val="000000" w:themeColor="text1"/>
          <w:kern w:val="2"/>
          <w:sz w:val="24"/>
          <w:szCs w:val="24"/>
          <w:lang w:eastAsia="zh-CN"/>
          <w14:textFill>
            <w14:solidFill>
              <w14:schemeClr w14:val="tx1"/>
            </w14:solidFill>
          </w14:textFill>
        </w:rPr>
        <w:t>机械工程、汽车服务工程、工商管理。</w:t>
      </w:r>
    </w:p>
    <w:p>
      <w:pPr>
        <w:spacing w:line="360" w:lineRule="auto"/>
        <w:ind w:firstLine="480" w:firstLineChars="200"/>
        <w:outlineLvl w:val="1"/>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4.主要理论课程</w:t>
      </w:r>
    </w:p>
    <w:p>
      <w:pPr>
        <w:pStyle w:val="9"/>
        <w:spacing w:line="360" w:lineRule="auto"/>
        <w:ind w:left="0" w:firstLine="480" w:firstLineChars="200"/>
        <w:rPr>
          <w:rFonts w:eastAsiaTheme="minorEastAsia"/>
          <w:color w:val="000000" w:themeColor="text1"/>
          <w:sz w:val="24"/>
          <w:szCs w:val="24"/>
          <w:lang w:eastAsia="zh-CN"/>
          <w14:textFill>
            <w14:solidFill>
              <w14:schemeClr w14:val="tx1"/>
            </w14:solidFill>
          </w14:textFill>
        </w:rPr>
      </w:pPr>
      <w:r>
        <w:rPr>
          <w:rFonts w:eastAsiaTheme="minorEastAsia"/>
          <w:color w:val="000000" w:themeColor="text1"/>
          <w:kern w:val="2"/>
          <w:sz w:val="24"/>
          <w:szCs w:val="24"/>
          <w:lang w:eastAsia="zh-CN"/>
          <w14:textFill>
            <w14:solidFill>
              <w14:schemeClr w14:val="tx1"/>
            </w14:solidFill>
          </w14:textFill>
        </w:rPr>
        <w:t>高等数学、大学英语、大学物理、机械制图、计算机绘图（CAD及Pro/E）、电路、电子技术基础、C语言程序设计、工程力学、汽车工程材料、机械设计基础、互换性与技术测量、液压与气动技术、单片机原理与应用、汽车服务企业管理、汽车保险与理赔、汽车构造、汽车电器与电子学、汽车营销学、汽车检测与诊断技术。</w:t>
      </w:r>
    </w:p>
    <w:p>
      <w:pPr>
        <w:spacing w:line="360" w:lineRule="auto"/>
        <w:ind w:firstLine="480" w:firstLineChars="200"/>
        <w:outlineLvl w:val="1"/>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5.主要实践课程</w:t>
      </w:r>
    </w:p>
    <w:p>
      <w:pPr>
        <w:pStyle w:val="9"/>
        <w:spacing w:line="360" w:lineRule="auto"/>
        <w:ind w:left="0" w:firstLine="480" w:firstLineChars="200"/>
        <w:rPr>
          <w:rFonts w:eastAsiaTheme="minorEastAsia"/>
          <w:color w:val="000000" w:themeColor="text1"/>
          <w:kern w:val="2"/>
          <w:sz w:val="24"/>
          <w:szCs w:val="24"/>
          <w:lang w:eastAsia="zh-CN"/>
          <w14:textFill>
            <w14:solidFill>
              <w14:schemeClr w14:val="tx1"/>
            </w14:solidFill>
          </w14:textFill>
        </w:rPr>
      </w:pPr>
      <w:r>
        <w:rPr>
          <w:rFonts w:eastAsiaTheme="minorEastAsia"/>
          <w:color w:val="000000" w:themeColor="text1"/>
          <w:kern w:val="2"/>
          <w:sz w:val="24"/>
          <w:szCs w:val="24"/>
          <w:lang w:eastAsia="zh-CN"/>
          <w14:textFill>
            <w14:solidFill>
              <w14:schemeClr w14:val="tx1"/>
            </w14:solidFill>
          </w14:textFill>
        </w:rPr>
        <w:t>物理实验、电路实验、电子技术实验、微机与单片机综合实践、金工实习、机械设计课程设计、汽车拆装和驾驶实习、C语言程序设计实践、汽车维护与检测实践、汽车电器及电控技术实习、认识实习、毕业实习、毕业设计（论文）。</w:t>
      </w:r>
    </w:p>
    <w:bookmarkEnd w:id="3"/>
    <w:p>
      <w:pPr>
        <w:spacing w:line="360" w:lineRule="auto"/>
        <w:ind w:firstLine="470" w:firstLineChars="196"/>
        <w:outlineLvl w:val="1"/>
        <w:rPr>
          <w:rFonts w:ascii="Times New Roman" w:hAnsi="Times New Roman" w:cs="Times New Roman"/>
          <w:bCs/>
          <w:color w:val="000000" w:themeColor="text1"/>
          <w:sz w:val="24"/>
          <w:szCs w:val="24"/>
          <w14:textFill>
            <w14:solidFill>
              <w14:schemeClr w14:val="tx1"/>
            </w14:solidFill>
          </w14:textFill>
        </w:rPr>
      </w:pPr>
      <w:bookmarkStart w:id="4" w:name="_Toc463773548"/>
      <w:bookmarkStart w:id="5" w:name="_Toc440442456"/>
      <w:r>
        <w:rPr>
          <w:rFonts w:ascii="Times New Roman" w:hAnsi="Times New Roman" w:cs="Times New Roman"/>
          <w:bCs/>
          <w:color w:val="000000" w:themeColor="text1"/>
          <w:sz w:val="24"/>
          <w:szCs w:val="24"/>
          <w14:textFill>
            <w14:solidFill>
              <w14:schemeClr w14:val="tx1"/>
            </w14:solidFill>
          </w14:textFill>
        </w:rPr>
        <w:t>6.课程体系</w:t>
      </w:r>
      <w:bookmarkEnd w:id="4"/>
      <w:bookmarkEnd w:id="5"/>
      <w:r>
        <w:rPr>
          <w:rFonts w:ascii="Times New Roman" w:hAnsi="Times New Roman" w:cs="Times New Roman"/>
          <w:bCs/>
          <w:color w:val="000000" w:themeColor="text1"/>
          <w:sz w:val="24"/>
          <w:szCs w:val="24"/>
          <w14:textFill>
            <w14:solidFill>
              <w14:schemeClr w14:val="tx1"/>
            </w14:solidFill>
          </w14:textFill>
        </w:rPr>
        <w:t>与学分要求</w:t>
      </w:r>
    </w:p>
    <w:p>
      <w:pPr>
        <w:pStyle w:val="9"/>
        <w:spacing w:line="360" w:lineRule="auto"/>
        <w:ind w:left="0" w:firstLine="480" w:firstLineChars="200"/>
        <w:rPr>
          <w:rFonts w:eastAsiaTheme="minorEastAsia"/>
          <w:color w:val="000000" w:themeColor="text1"/>
          <w:kern w:val="2"/>
          <w:sz w:val="24"/>
          <w:szCs w:val="24"/>
          <w:lang w:eastAsia="zh-CN"/>
          <w14:textFill>
            <w14:solidFill>
              <w14:schemeClr w14:val="tx1"/>
            </w14:solidFill>
          </w14:textFill>
        </w:rPr>
      </w:pPr>
      <w:r>
        <w:rPr>
          <w:rFonts w:eastAsiaTheme="minorEastAsia"/>
          <w:color w:val="000000" w:themeColor="text1"/>
          <w:sz w:val="24"/>
          <w:szCs w:val="24"/>
          <w14:textFill>
            <w14:solidFill>
              <w14:schemeClr w14:val="tx1"/>
            </w14:solidFill>
          </w14:textFill>
        </w:rPr>
        <w:t>总学分为16</w:t>
      </w:r>
      <w:r>
        <w:rPr>
          <w:rFonts w:eastAsiaTheme="minorEastAsia"/>
          <w:color w:val="000000" w:themeColor="text1"/>
          <w:sz w:val="24"/>
          <w:szCs w:val="24"/>
          <w:lang w:eastAsia="zh-CN"/>
          <w14:textFill>
            <w14:solidFill>
              <w14:schemeClr w14:val="tx1"/>
            </w14:solidFill>
          </w14:textFill>
        </w:rPr>
        <w:t>9</w:t>
      </w:r>
      <w:r>
        <w:rPr>
          <w:rFonts w:eastAsiaTheme="minorEastAsia"/>
          <w:color w:val="000000" w:themeColor="text1"/>
          <w:sz w:val="24"/>
          <w:szCs w:val="24"/>
          <w14:textFill>
            <w14:solidFill>
              <w14:schemeClr w14:val="tx1"/>
            </w14:solidFill>
          </w14:textFill>
        </w:rPr>
        <w:t>学分，其中实践环节</w:t>
      </w:r>
      <w:r>
        <w:rPr>
          <w:rFonts w:eastAsiaTheme="minorEastAsia"/>
          <w:color w:val="000000" w:themeColor="text1"/>
          <w:sz w:val="24"/>
          <w:szCs w:val="24"/>
          <w:lang w:eastAsia="zh-CN"/>
          <w14:textFill>
            <w14:solidFill>
              <w14:schemeClr w14:val="tx1"/>
            </w14:solidFill>
          </w14:textFill>
        </w:rPr>
        <w:t>40</w:t>
      </w:r>
      <w:r>
        <w:rPr>
          <w:rFonts w:eastAsiaTheme="minorEastAsia"/>
          <w:color w:val="000000" w:themeColor="text1"/>
          <w:sz w:val="24"/>
          <w:szCs w:val="24"/>
          <w14:textFill>
            <w14:solidFill>
              <w14:schemeClr w14:val="tx1"/>
            </w14:solidFill>
          </w14:textFill>
        </w:rPr>
        <w:t>学分(不含课内实践学分)</w:t>
      </w:r>
      <w:r>
        <w:rPr>
          <w:rFonts w:eastAsiaTheme="minorEastAsia"/>
          <w:color w:val="000000" w:themeColor="text1"/>
          <w:kern w:val="2"/>
          <w:sz w:val="24"/>
          <w:szCs w:val="24"/>
          <w:lang w:eastAsia="zh-CN"/>
          <w14:textFill>
            <w14:solidFill>
              <w14:schemeClr w14:val="tx1"/>
            </w14:solidFill>
          </w14:textFill>
        </w:rPr>
        <w:t>，课程体系由公共基础课程、专业基础课程、专业教育课程、集中实践教学安排、综合素质教育（第二课堂课程）五个部分构成。汽车服务工程专业课程体系构成及学分分配表，如</w:t>
      </w:r>
      <w:r>
        <w:rPr>
          <w:rFonts w:eastAsiaTheme="minorEastAsia"/>
          <w:color w:val="000000" w:themeColor="text1"/>
          <w:sz w:val="24"/>
          <w:szCs w:val="24"/>
          <w:lang w:eastAsia="zh-CN"/>
          <w14:textFill>
            <w14:solidFill>
              <w14:schemeClr w14:val="tx1"/>
            </w14:solidFill>
          </w14:textFill>
        </w:rPr>
        <w:t>表1所列</w:t>
      </w:r>
      <w:r>
        <w:rPr>
          <w:rFonts w:eastAsiaTheme="minorEastAsia"/>
          <w:color w:val="000000" w:themeColor="text1"/>
          <w:kern w:val="2"/>
          <w:sz w:val="24"/>
          <w:szCs w:val="24"/>
          <w:lang w:eastAsia="zh-CN"/>
          <w14:textFill>
            <w14:solidFill>
              <w14:schemeClr w14:val="tx1"/>
            </w14:solidFill>
          </w14:textFill>
        </w:rPr>
        <w:t>。</w:t>
      </w:r>
    </w:p>
    <w:p>
      <w:pPr>
        <w:pStyle w:val="9"/>
        <w:spacing w:line="360" w:lineRule="auto"/>
        <w:ind w:left="0" w:firstLine="480" w:firstLineChars="200"/>
        <w:jc w:val="center"/>
        <w:rPr>
          <w:rFonts w:eastAsiaTheme="minorEastAsia"/>
          <w:color w:val="000000" w:themeColor="text1"/>
          <w:sz w:val="24"/>
          <w:szCs w:val="24"/>
          <w:lang w:eastAsia="zh-CN"/>
          <w14:textFill>
            <w14:solidFill>
              <w14:schemeClr w14:val="tx1"/>
            </w14:solidFill>
          </w14:textFill>
        </w:rPr>
      </w:pPr>
      <w:r>
        <w:rPr>
          <w:rFonts w:eastAsiaTheme="minorEastAsia"/>
          <w:color w:val="000000" w:themeColor="text1"/>
          <w:sz w:val="24"/>
          <w:szCs w:val="24"/>
          <w:lang w:eastAsia="zh-CN"/>
          <w14:textFill>
            <w14:solidFill>
              <w14:schemeClr w14:val="tx1"/>
            </w14:solidFill>
          </w14:textFill>
        </w:rPr>
        <w:t xml:space="preserve">表1 </w:t>
      </w:r>
      <w:r>
        <w:rPr>
          <w:rFonts w:eastAsiaTheme="minorEastAsia"/>
          <w:color w:val="000000" w:themeColor="text1"/>
          <w:sz w:val="24"/>
          <w:szCs w:val="24"/>
          <w14:textFill>
            <w14:solidFill>
              <w14:schemeClr w14:val="tx1"/>
            </w14:solidFill>
          </w14:textFill>
        </w:rPr>
        <w:t>汽车服务工程专业课程体系构成及学分分配表</w:t>
      </w:r>
    </w:p>
    <w:tbl>
      <w:tblPr>
        <w:tblStyle w:val="4"/>
        <w:tblW w:w="9449" w:type="dxa"/>
        <w:jc w:val="center"/>
        <w:tblLayout w:type="fixed"/>
        <w:tblCellMar>
          <w:top w:w="15" w:type="dxa"/>
          <w:left w:w="15" w:type="dxa"/>
          <w:bottom w:w="15" w:type="dxa"/>
          <w:right w:w="15" w:type="dxa"/>
        </w:tblCellMar>
      </w:tblPr>
      <w:tblGrid>
        <w:gridCol w:w="1801"/>
        <w:gridCol w:w="1643"/>
        <w:gridCol w:w="1053"/>
        <w:gridCol w:w="2537"/>
        <w:gridCol w:w="1127"/>
        <w:gridCol w:w="1288"/>
      </w:tblGrid>
      <w:tr>
        <w:tblPrEx>
          <w:tblCellMar>
            <w:top w:w="15" w:type="dxa"/>
            <w:left w:w="15" w:type="dxa"/>
            <w:bottom w:w="15" w:type="dxa"/>
            <w:right w:w="15" w:type="dxa"/>
          </w:tblCellMar>
        </w:tblPrEx>
        <w:trPr>
          <w:trHeight w:val="421" w:hRule="atLeast"/>
          <w:jc w:val="center"/>
        </w:trPr>
        <w:tc>
          <w:tcPr>
            <w:tcW w:w="3444"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kern w:val="0"/>
                <w:szCs w:val="21"/>
                <w14:textFill>
                  <w14:solidFill>
                    <w14:schemeClr w14:val="tx1"/>
                  </w14:solidFill>
                </w14:textFill>
              </w:rPr>
              <w:t>课程体系</w:t>
            </w:r>
          </w:p>
        </w:tc>
        <w:tc>
          <w:tcPr>
            <w:tcW w:w="3590" w:type="dxa"/>
            <w:gridSpan w:val="2"/>
            <w:tcBorders>
              <w:top w:val="single" w:color="000000" w:sz="4" w:space="0"/>
              <w:left w:val="single" w:color="000000" w:sz="4" w:space="0"/>
              <w:bottom w:val="single" w:color="auto" w:sz="4" w:space="0"/>
              <w:right w:val="single" w:color="000000" w:sz="4" w:space="0"/>
            </w:tcBorders>
            <w:noWrap/>
            <w:vAlign w:val="center"/>
          </w:tcPr>
          <w:p>
            <w:pPr>
              <w:widowControl/>
              <w:spacing w:line="360" w:lineRule="auto"/>
              <w:jc w:val="center"/>
              <w:textAlignment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kern w:val="0"/>
                <w:szCs w:val="21"/>
                <w14:textFill>
                  <w14:solidFill>
                    <w14:schemeClr w14:val="tx1"/>
                  </w14:solidFill>
                </w14:textFill>
              </w:rPr>
              <w:t>性质及说明</w:t>
            </w:r>
          </w:p>
        </w:tc>
        <w:tc>
          <w:tcPr>
            <w:tcW w:w="1127" w:type="dxa"/>
            <w:tcBorders>
              <w:top w:val="single" w:color="000000" w:sz="4" w:space="0"/>
              <w:left w:val="single" w:color="000000" w:sz="4" w:space="0"/>
              <w:bottom w:val="single" w:color="auto" w:sz="4" w:space="0"/>
              <w:right w:val="single" w:color="000000" w:sz="4" w:space="0"/>
            </w:tcBorders>
            <w:noWrap/>
            <w:vAlign w:val="center"/>
          </w:tcPr>
          <w:p>
            <w:pPr>
              <w:widowControl/>
              <w:spacing w:line="360" w:lineRule="auto"/>
              <w:jc w:val="center"/>
              <w:textAlignment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学分</w:t>
            </w:r>
          </w:p>
        </w:tc>
        <w:tc>
          <w:tcPr>
            <w:tcW w:w="1288" w:type="dxa"/>
            <w:tcBorders>
              <w:top w:val="single" w:color="000000" w:sz="4" w:space="0"/>
              <w:left w:val="single" w:color="000000" w:sz="4" w:space="0"/>
              <w:bottom w:val="single" w:color="auto" w:sz="4" w:space="0"/>
              <w:right w:val="single" w:color="000000" w:sz="4" w:space="0"/>
            </w:tcBorders>
            <w:noWrap/>
            <w:vAlign w:val="center"/>
          </w:tcPr>
          <w:p>
            <w:pPr>
              <w:widowControl/>
              <w:spacing w:line="360" w:lineRule="auto"/>
              <w:jc w:val="center"/>
              <w:textAlignment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比例（</w:t>
            </w:r>
            <w:r>
              <w:rPr>
                <w:rFonts w:ascii="Times New Roman" w:hAnsi="Times New Roman" w:cs="Times New Roman"/>
                <w:color w:val="000000" w:themeColor="text1"/>
                <w:szCs w:val="21"/>
                <w14:textFill>
                  <w14:solidFill>
                    <w14:schemeClr w14:val="tx1"/>
                  </w14:solidFill>
                </w14:textFill>
              </w:rPr>
              <w:t>%</w:t>
            </w:r>
            <w:r>
              <w:rPr>
                <w:rFonts w:ascii="Times New Roman" w:hAnsi="Times New Roman" w:cs="Times New Roman"/>
                <w:b/>
                <w:color w:val="000000" w:themeColor="text1"/>
                <w:szCs w:val="21"/>
                <w14:textFill>
                  <w14:solidFill>
                    <w14:schemeClr w14:val="tx1"/>
                  </w14:solidFill>
                </w14:textFill>
              </w:rPr>
              <w:t>）</w:t>
            </w:r>
          </w:p>
        </w:tc>
      </w:tr>
      <w:tr>
        <w:tblPrEx>
          <w:tblCellMar>
            <w:top w:w="15" w:type="dxa"/>
            <w:left w:w="15" w:type="dxa"/>
            <w:bottom w:w="15" w:type="dxa"/>
            <w:right w:w="15" w:type="dxa"/>
          </w:tblCellMar>
        </w:tblPrEx>
        <w:trPr>
          <w:trHeight w:val="329" w:hRule="atLeast"/>
          <w:jc w:val="center"/>
        </w:trPr>
        <w:tc>
          <w:tcPr>
            <w:tcW w:w="1801"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理论课程</w:t>
            </w:r>
          </w:p>
        </w:tc>
        <w:tc>
          <w:tcPr>
            <w:tcW w:w="1643" w:type="dxa"/>
            <w:vMerge w:val="restart"/>
            <w:tcBorders>
              <w:top w:val="single" w:color="000000" w:sz="4" w:space="0"/>
              <w:left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公共基础课程</w:t>
            </w:r>
          </w:p>
        </w:tc>
        <w:tc>
          <w:tcPr>
            <w:tcW w:w="3590"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必修</w:t>
            </w:r>
          </w:p>
        </w:tc>
        <w:tc>
          <w:tcPr>
            <w:tcW w:w="1127" w:type="dxa"/>
            <w:tcBorders>
              <w:top w:val="single" w:color="000000" w:sz="4" w:space="0"/>
              <w:left w:val="single" w:color="000000" w:sz="4" w:space="0"/>
              <w:bottom w:val="single" w:color="auto"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50</w:t>
            </w:r>
          </w:p>
        </w:tc>
        <w:tc>
          <w:tcPr>
            <w:tcW w:w="1288" w:type="dxa"/>
            <w:tcBorders>
              <w:top w:val="single" w:color="000000" w:sz="4" w:space="0"/>
              <w:left w:val="single" w:color="000000" w:sz="4" w:space="0"/>
              <w:bottom w:val="single" w:color="auto"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29.59%</w:t>
            </w:r>
          </w:p>
        </w:tc>
      </w:tr>
      <w:tr>
        <w:tblPrEx>
          <w:tblCellMar>
            <w:top w:w="15" w:type="dxa"/>
            <w:left w:w="15" w:type="dxa"/>
            <w:bottom w:w="15" w:type="dxa"/>
            <w:right w:w="15" w:type="dxa"/>
          </w:tblCellMar>
        </w:tblPrEx>
        <w:trPr>
          <w:trHeight w:val="263"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restart"/>
            <w:tcBorders>
              <w:top w:val="single" w:color="000000" w:sz="4" w:space="0"/>
              <w:left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选修（含限选）</w:t>
            </w: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创新创业类</w:t>
            </w:r>
          </w:p>
        </w:tc>
        <w:tc>
          <w:tcPr>
            <w:tcW w:w="1127" w:type="dxa"/>
            <w:vMerge w:val="restart"/>
            <w:tcBorders>
              <w:top w:val="single" w:color="auto" w:sz="4" w:space="0"/>
              <w:left w:val="single" w:color="000000" w:sz="4" w:space="0"/>
              <w:right w:val="single" w:color="000000" w:sz="4" w:space="0"/>
            </w:tcBorders>
            <w:noWrap/>
            <w:vAlign w:val="center"/>
          </w:tcPr>
          <w:p>
            <w:pPr>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10</w:t>
            </w:r>
          </w:p>
        </w:tc>
        <w:tc>
          <w:tcPr>
            <w:tcW w:w="1288" w:type="dxa"/>
            <w:vMerge w:val="restart"/>
            <w:tcBorders>
              <w:top w:val="single" w:color="auto" w:sz="4" w:space="0"/>
              <w:left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5.92%</w:t>
            </w:r>
            <w:r>
              <w:rPr>
                <w:rFonts w:ascii="Times New Roman" w:hAnsi="Times New Roman" w:cs="Times New Roman"/>
                <w:color w:val="000000" w:themeColor="text1"/>
                <w:kern w:val="0"/>
                <w:szCs w:val="21"/>
                <w14:textFill>
                  <w14:solidFill>
                    <w14:schemeClr w14:val="tx1"/>
                  </w14:solidFill>
                </w14:textFill>
              </w:rPr>
              <w:fldChar w:fldCharType="begin"/>
            </w:r>
            <w:r>
              <w:rPr>
                <w:rFonts w:ascii="Times New Roman" w:hAnsi="Times New Roman" w:cs="Times New Roman"/>
                <w:color w:val="000000" w:themeColor="text1"/>
                <w:kern w:val="0"/>
                <w:szCs w:val="21"/>
                <w14:textFill>
                  <w14:solidFill>
                    <w14:schemeClr w14:val="tx1"/>
                  </w14:solidFill>
                </w14:textFill>
              </w:rPr>
              <w:instrText xml:space="preserve"> =AVERAGE(A2:A7) </w:instrText>
            </w:r>
            <w:r>
              <w:rPr>
                <w:rFonts w:ascii="Times New Roman" w:hAnsi="Times New Roman" w:cs="Times New Roman"/>
                <w:color w:val="000000" w:themeColor="text1"/>
                <w:kern w:val="0"/>
                <w:szCs w:val="21"/>
                <w14:textFill>
                  <w14:solidFill>
                    <w14:schemeClr w14:val="tx1"/>
                  </w14:solidFill>
                </w14:textFill>
              </w:rPr>
              <w:fldChar w:fldCharType="end"/>
            </w:r>
            <w:r>
              <w:rPr>
                <w:rFonts w:ascii="Times New Roman" w:hAnsi="Times New Roman" w:cs="Times New Roman"/>
                <w:color w:val="000000" w:themeColor="text1"/>
                <w:kern w:val="0"/>
                <w:szCs w:val="21"/>
                <w14:textFill>
                  <w14:solidFill>
                    <w14:schemeClr w14:val="tx1"/>
                  </w14:solidFill>
                </w14:textFill>
              </w:rPr>
              <w:fldChar w:fldCharType="begin"/>
            </w:r>
            <w:r>
              <w:rPr>
                <w:rFonts w:ascii="Times New Roman" w:hAnsi="Times New Roman" w:cs="Times New Roman"/>
                <w:color w:val="000000" w:themeColor="text1"/>
                <w:kern w:val="0"/>
                <w:szCs w:val="21"/>
                <w14:textFill>
                  <w14:solidFill>
                    <w14:schemeClr w14:val="tx1"/>
                  </w14:solidFill>
                </w14:textFill>
              </w:rPr>
              <w:instrText xml:space="preserve"> AVERAGE(LEFT) \# "0.00"</w:instrText>
            </w:r>
            <w:r>
              <w:rPr>
                <w:rFonts w:ascii="Times New Roman" w:hAnsi="Times New Roman" w:cs="Times New Roman"/>
                <w:color w:val="000000" w:themeColor="text1"/>
                <w:kern w:val="0"/>
                <w:szCs w:val="21"/>
                <w14:textFill>
                  <w14:solidFill>
                    <w14:schemeClr w14:val="tx1"/>
                  </w14:solidFill>
                </w14:textFill>
              </w:rPr>
              <w:fldChar w:fldCharType="end"/>
            </w:r>
            <w:r>
              <w:rPr>
                <w:rFonts w:ascii="Times New Roman" w:hAnsi="Times New Roman" w:cs="Times New Roman"/>
                <w:color w:val="000000" w:themeColor="text1"/>
                <w:kern w:val="0"/>
                <w:szCs w:val="21"/>
                <w14:textFill>
                  <w14:solidFill>
                    <w14:schemeClr w14:val="tx1"/>
                  </w14:solidFill>
                </w14:textFill>
              </w:rPr>
              <w:fldChar w:fldCharType="begin"/>
            </w:r>
            <w:r>
              <w:rPr>
                <w:rFonts w:ascii="Times New Roman" w:hAnsi="Times New Roman" w:cs="Times New Roman"/>
                <w:color w:val="000000" w:themeColor="text1"/>
                <w:kern w:val="0"/>
                <w:szCs w:val="21"/>
                <w14:textFill>
                  <w14:solidFill>
                    <w14:schemeClr w14:val="tx1"/>
                  </w14:solidFill>
                </w14:textFill>
              </w:rPr>
              <w:instrText xml:space="preserve"> AVERAGE() \# "0.00"</w:instrText>
            </w:r>
            <w:r>
              <w:rPr>
                <w:rFonts w:ascii="Times New Roman" w:hAnsi="Times New Roman" w:cs="Times New Roman"/>
                <w:color w:val="000000" w:themeColor="text1"/>
                <w:kern w:val="0"/>
                <w:szCs w:val="21"/>
                <w14:textFill>
                  <w14:solidFill>
                    <w14:schemeClr w14:val="tx1"/>
                  </w14:solidFill>
                </w14:textFill>
              </w:rPr>
              <w:fldChar w:fldCharType="end"/>
            </w:r>
          </w:p>
        </w:tc>
      </w:tr>
      <w:tr>
        <w:tblPrEx>
          <w:tblCellMar>
            <w:top w:w="15" w:type="dxa"/>
            <w:left w:w="15" w:type="dxa"/>
            <w:bottom w:w="15" w:type="dxa"/>
            <w:right w:w="15" w:type="dxa"/>
          </w:tblCellMar>
        </w:tblPrEx>
        <w:trPr>
          <w:trHeight w:val="265"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心理健康教育类</w:t>
            </w:r>
          </w:p>
        </w:tc>
        <w:tc>
          <w:tcPr>
            <w:tcW w:w="1127" w:type="dxa"/>
            <w:vMerge w:val="continue"/>
            <w:tcBorders>
              <w:left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p>
        </w:tc>
        <w:tc>
          <w:tcPr>
            <w:tcW w:w="1288" w:type="dxa"/>
            <w:vMerge w:val="continue"/>
            <w:tcBorders>
              <w:top w:val="single" w:color="auto" w:sz="4" w:space="0"/>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CellMar>
            <w:top w:w="15" w:type="dxa"/>
            <w:left w:w="15" w:type="dxa"/>
            <w:bottom w:w="15" w:type="dxa"/>
            <w:right w:w="15" w:type="dxa"/>
          </w:tblCellMar>
        </w:tblPrEx>
        <w:trPr>
          <w:trHeight w:val="265"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军事教育类</w:t>
            </w:r>
          </w:p>
        </w:tc>
        <w:tc>
          <w:tcPr>
            <w:tcW w:w="1127" w:type="dxa"/>
            <w:vMerge w:val="continue"/>
            <w:tcBorders>
              <w:left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p>
        </w:tc>
        <w:tc>
          <w:tcPr>
            <w:tcW w:w="1288" w:type="dxa"/>
            <w:vMerge w:val="continue"/>
            <w:tcBorders>
              <w:top w:val="single" w:color="auto" w:sz="4" w:space="0"/>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CellMar>
            <w:top w:w="15" w:type="dxa"/>
            <w:left w:w="15" w:type="dxa"/>
            <w:bottom w:w="15" w:type="dxa"/>
            <w:right w:w="15" w:type="dxa"/>
          </w:tblCellMar>
        </w:tblPrEx>
        <w:trPr>
          <w:trHeight w:val="265"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就业指导类</w:t>
            </w:r>
          </w:p>
        </w:tc>
        <w:tc>
          <w:tcPr>
            <w:tcW w:w="1127" w:type="dxa"/>
            <w:vMerge w:val="continue"/>
            <w:tcBorders>
              <w:left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p>
        </w:tc>
        <w:tc>
          <w:tcPr>
            <w:tcW w:w="1288" w:type="dxa"/>
            <w:vMerge w:val="continue"/>
            <w:tcBorders>
              <w:top w:val="single" w:color="auto" w:sz="4" w:space="0"/>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CellMar>
            <w:top w:w="15" w:type="dxa"/>
            <w:left w:w="15" w:type="dxa"/>
            <w:bottom w:w="15" w:type="dxa"/>
            <w:right w:w="15" w:type="dxa"/>
          </w:tblCellMar>
        </w:tblPrEx>
        <w:trPr>
          <w:trHeight w:val="263"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科学技术类</w:t>
            </w:r>
          </w:p>
        </w:tc>
        <w:tc>
          <w:tcPr>
            <w:tcW w:w="1127" w:type="dxa"/>
            <w:vMerge w:val="continue"/>
            <w:tcBorders>
              <w:left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p>
        </w:tc>
        <w:tc>
          <w:tcPr>
            <w:tcW w:w="1288" w:type="dxa"/>
            <w:vMerge w:val="continue"/>
            <w:tcBorders>
              <w:top w:val="single" w:color="auto" w:sz="4" w:space="0"/>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CellMar>
            <w:top w:w="15" w:type="dxa"/>
            <w:left w:w="15" w:type="dxa"/>
            <w:bottom w:w="15" w:type="dxa"/>
            <w:right w:w="15" w:type="dxa"/>
          </w:tblCellMar>
        </w:tblPrEx>
        <w:trPr>
          <w:trHeight w:val="265"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人文社会类</w:t>
            </w:r>
          </w:p>
        </w:tc>
        <w:tc>
          <w:tcPr>
            <w:tcW w:w="1127"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288" w:type="dxa"/>
            <w:vMerge w:val="continue"/>
            <w:tcBorders>
              <w:top w:val="single" w:color="auto" w:sz="4" w:space="0"/>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CellMar>
            <w:top w:w="15" w:type="dxa"/>
            <w:left w:w="15" w:type="dxa"/>
            <w:bottom w:w="15" w:type="dxa"/>
            <w:right w:w="15" w:type="dxa"/>
          </w:tblCellMar>
        </w:tblPrEx>
        <w:trPr>
          <w:trHeight w:val="265"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艺术教育类</w:t>
            </w:r>
          </w:p>
        </w:tc>
        <w:tc>
          <w:tcPr>
            <w:tcW w:w="1127"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288" w:type="dxa"/>
            <w:vMerge w:val="continue"/>
            <w:tcBorders>
              <w:top w:val="single" w:color="auto" w:sz="4" w:space="0"/>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CellMar>
            <w:top w:w="15" w:type="dxa"/>
            <w:left w:w="15" w:type="dxa"/>
            <w:bottom w:w="15" w:type="dxa"/>
            <w:right w:w="15" w:type="dxa"/>
          </w:tblCellMar>
        </w:tblPrEx>
        <w:trPr>
          <w:trHeight w:val="265"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劳动教育类</w:t>
            </w:r>
          </w:p>
        </w:tc>
        <w:tc>
          <w:tcPr>
            <w:tcW w:w="1127"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288" w:type="dxa"/>
            <w:vMerge w:val="continue"/>
            <w:tcBorders>
              <w:top w:val="single" w:color="auto" w:sz="4" w:space="0"/>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CellMar>
            <w:top w:w="15" w:type="dxa"/>
            <w:left w:w="15" w:type="dxa"/>
            <w:bottom w:w="15" w:type="dxa"/>
            <w:right w:w="15" w:type="dxa"/>
          </w:tblCellMar>
        </w:tblPrEx>
        <w:trPr>
          <w:trHeight w:val="265"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特色通识类</w:t>
            </w:r>
          </w:p>
        </w:tc>
        <w:tc>
          <w:tcPr>
            <w:tcW w:w="1127" w:type="dxa"/>
            <w:vMerge w:val="continue"/>
            <w:tcBorders>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288" w:type="dxa"/>
            <w:vMerge w:val="continue"/>
            <w:tcBorders>
              <w:top w:val="single" w:color="auto" w:sz="4" w:space="0"/>
              <w:left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CellMar>
            <w:top w:w="15" w:type="dxa"/>
            <w:left w:w="15" w:type="dxa"/>
            <w:bottom w:w="15" w:type="dxa"/>
            <w:right w:w="15" w:type="dxa"/>
          </w:tblCellMar>
        </w:tblPrEx>
        <w:trPr>
          <w:trHeight w:val="265"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053" w:type="dxa"/>
            <w:vMerge w:val="continue"/>
            <w:tcBorders>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253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跨文化交流类</w:t>
            </w:r>
          </w:p>
        </w:tc>
        <w:tc>
          <w:tcPr>
            <w:tcW w:w="1127" w:type="dxa"/>
            <w:vMerge w:val="continue"/>
            <w:tcBorders>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288" w:type="dxa"/>
            <w:vMerge w:val="continue"/>
            <w:tcBorders>
              <w:top w:val="single" w:color="auto"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r>
      <w:tr>
        <w:tblPrEx>
          <w:tblCellMar>
            <w:top w:w="15" w:type="dxa"/>
            <w:left w:w="15" w:type="dxa"/>
            <w:bottom w:w="15" w:type="dxa"/>
            <w:right w:w="15" w:type="dxa"/>
          </w:tblCellMar>
        </w:tblPrEx>
        <w:trPr>
          <w:trHeight w:val="84"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专业课程</w:t>
            </w:r>
          </w:p>
        </w:tc>
        <w:tc>
          <w:tcPr>
            <w:tcW w:w="3590"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专业基础必修</w:t>
            </w:r>
          </w:p>
        </w:tc>
        <w:tc>
          <w:tcPr>
            <w:tcW w:w="112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30.5</w:t>
            </w:r>
          </w:p>
        </w:tc>
        <w:tc>
          <w:tcPr>
            <w:tcW w:w="128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18.05%</w:t>
            </w:r>
          </w:p>
        </w:tc>
      </w:tr>
      <w:tr>
        <w:tblPrEx>
          <w:tblCellMar>
            <w:top w:w="15" w:type="dxa"/>
            <w:left w:w="15" w:type="dxa"/>
            <w:bottom w:w="15" w:type="dxa"/>
            <w:right w:w="15" w:type="dxa"/>
          </w:tblCellMar>
        </w:tblPrEx>
        <w:trPr>
          <w:trHeight w:val="292"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3590"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专业教育必修</w:t>
            </w:r>
          </w:p>
        </w:tc>
        <w:tc>
          <w:tcPr>
            <w:tcW w:w="112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w:t>
            </w:r>
          </w:p>
        </w:tc>
        <w:tc>
          <w:tcPr>
            <w:tcW w:w="1288"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11.83%</w:t>
            </w:r>
          </w:p>
        </w:tc>
      </w:tr>
      <w:tr>
        <w:tblPrEx>
          <w:tblCellMar>
            <w:top w:w="15" w:type="dxa"/>
            <w:left w:w="15" w:type="dxa"/>
            <w:bottom w:w="15" w:type="dxa"/>
            <w:right w:w="15" w:type="dxa"/>
          </w:tblCellMar>
        </w:tblPrEx>
        <w:trPr>
          <w:trHeight w:val="292" w:hRule="atLeast"/>
          <w:jc w:val="center"/>
        </w:trPr>
        <w:tc>
          <w:tcPr>
            <w:tcW w:w="1801"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643"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3590"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专业教育选修</w:t>
            </w:r>
          </w:p>
        </w:tc>
        <w:tc>
          <w:tcPr>
            <w:tcW w:w="112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18.5</w:t>
            </w:r>
          </w:p>
        </w:tc>
        <w:tc>
          <w:tcPr>
            <w:tcW w:w="128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10.95%</w:t>
            </w:r>
          </w:p>
        </w:tc>
      </w:tr>
      <w:tr>
        <w:tblPrEx>
          <w:tblCellMar>
            <w:top w:w="15" w:type="dxa"/>
            <w:left w:w="15" w:type="dxa"/>
            <w:bottom w:w="15" w:type="dxa"/>
            <w:right w:w="15" w:type="dxa"/>
          </w:tblCellMar>
        </w:tblPrEx>
        <w:trPr>
          <w:trHeight w:val="292" w:hRule="atLeast"/>
          <w:jc w:val="center"/>
        </w:trPr>
        <w:tc>
          <w:tcPr>
            <w:tcW w:w="3444"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集中实践教学</w:t>
            </w:r>
          </w:p>
        </w:tc>
        <w:tc>
          <w:tcPr>
            <w:tcW w:w="3590"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必修</w:t>
            </w:r>
          </w:p>
        </w:tc>
        <w:tc>
          <w:tcPr>
            <w:tcW w:w="112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40</w:t>
            </w:r>
          </w:p>
        </w:tc>
        <w:tc>
          <w:tcPr>
            <w:tcW w:w="128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23.67%</w:t>
            </w:r>
          </w:p>
        </w:tc>
      </w:tr>
      <w:tr>
        <w:tblPrEx>
          <w:tblCellMar>
            <w:top w:w="15" w:type="dxa"/>
            <w:left w:w="15" w:type="dxa"/>
            <w:bottom w:w="15" w:type="dxa"/>
            <w:right w:w="15" w:type="dxa"/>
          </w:tblCellMar>
        </w:tblPrEx>
        <w:trPr>
          <w:trHeight w:val="342" w:hRule="atLeast"/>
          <w:jc w:val="center"/>
        </w:trPr>
        <w:tc>
          <w:tcPr>
            <w:tcW w:w="7034" w:type="dxa"/>
            <w:gridSpan w:val="4"/>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总学分</w:t>
            </w:r>
          </w:p>
        </w:tc>
        <w:tc>
          <w:tcPr>
            <w:tcW w:w="2415"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169</w:t>
            </w:r>
          </w:p>
        </w:tc>
      </w:tr>
    </w:tbl>
    <w:p>
      <w:pPr>
        <w:widowControl/>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spacing w:line="360" w:lineRule="auto"/>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（二）教师队伍</w:t>
      </w:r>
    </w:p>
    <w:p>
      <w:pPr>
        <w:spacing w:line="360" w:lineRule="auto"/>
        <w:ind w:firstLine="482" w:firstLineChars="200"/>
        <w:outlineLvl w:val="1"/>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2.1专业负责人、专业教师配置</w:t>
      </w:r>
    </w:p>
    <w:p>
      <w:pPr>
        <w:spacing w:line="360" w:lineRule="auto"/>
        <w:ind w:firstLine="480"/>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1.专业负责人</w:t>
      </w:r>
    </w:p>
    <w:p>
      <w:pPr>
        <w:spacing w:line="360" w:lineRule="auto"/>
        <w:ind w:firstLine="480"/>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张玉华，男，1961年生，工学博士、教授、硕士生导师。皖江工学院汽车服务工程专业负责人。2004年任安徽工业大学机械工程学院车辆工程系主任。曾任机械工程研究所副所长，院学术委员会委员，院本科教学督导。中国机械工程学会高级会员，机械工业自动化分会第七届委员，马鞍山市第七届、第八届政协委员，机电工程期刊审稿专家，国家自然基金项目评审专家，教育部学位与研究生教育发展中心评审专家。</w:t>
      </w:r>
    </w:p>
    <w:p>
      <w:pPr>
        <w:spacing w:line="360" w:lineRule="auto"/>
        <w:ind w:firstLine="480"/>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主要从事新型机构设计理论及应用方面的研究。先后主持完成了教育部留学基金科研启动项目1项、安徽省自然科学基金项目2项、省教育厅科学研究2项，参与完成了国家863计划项目1项、国家自然科学基金项目5项，省重点研发项目1项；主持和参与完成的横向科研项目20余项。在发表SCI、EI等论文50余篇，获授权发明专利40余项。安徽省高校“十五”优秀人才。</w:t>
      </w:r>
    </w:p>
    <w:p>
      <w:pPr>
        <w:spacing w:line="360" w:lineRule="auto"/>
        <w:ind w:firstLine="470" w:firstLineChars="196"/>
        <w:outlineLvl w:val="1"/>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2.专业教师配置</w:t>
      </w:r>
    </w:p>
    <w:p>
      <w:pPr>
        <w:spacing w:line="360" w:lineRule="auto"/>
        <w:ind w:firstLine="470" w:firstLineChars="196"/>
        <w:outlineLvl w:val="1"/>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专业立足实际，采取“走出去请进来”的措施，在教育教学过程中，秉持着“上善若水、笃学敦行”的校训，不断强化专业建设，提升教学质量，形成了一支学历、年龄结构合理的中高水平师资队伍，发展态势良好。</w:t>
      </w:r>
    </w:p>
    <w:p>
      <w:pPr>
        <w:spacing w:line="360" w:lineRule="auto"/>
        <w:ind w:firstLine="470" w:firstLineChars="196"/>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szCs w:val="24"/>
          <w:lang w:bidi="ar"/>
          <w14:textFill>
            <w14:solidFill>
              <w14:schemeClr w14:val="tx1"/>
            </w14:solidFill>
          </w14:textFill>
        </w:rPr>
        <w:t>截止2022年5月底，</w:t>
      </w:r>
      <w:r>
        <w:rPr>
          <w:rFonts w:ascii="Times New Roman" w:hAnsi="Times New Roman" w:cs="Times New Roman"/>
          <w:color w:val="000000" w:themeColor="text1"/>
          <w:sz w:val="24"/>
          <w14:textFill>
            <w14:solidFill>
              <w14:schemeClr w14:val="tx1"/>
            </w14:solidFill>
          </w14:textFill>
        </w:rPr>
        <w:t>本专业在校本科学生数共计283人，其中：2018级69人，2019级69人，2020级65人，2021级80人。汽车服务工程专业现有教师21人，师生比为13.5。其中本校专任教师11人，本校兼任教师2人，校外兼职教师8人，其中副教授及以上8人，讲师9人，助教4人。教师学术水平较高。总数满足教学要求，其中专业核心课教师6人，并且具备良好的专业知识。本</w:t>
      </w:r>
      <w:r>
        <w:rPr>
          <w:rFonts w:ascii="Times New Roman" w:hAnsi="Times New Roman" w:cs="Times New Roman"/>
          <w:color w:val="000000" w:themeColor="text1"/>
          <w:sz w:val="24"/>
          <w:szCs w:val="24"/>
          <w14:textFill>
            <w14:solidFill>
              <w14:schemeClr w14:val="tx1"/>
            </w14:solidFill>
          </w14:textFill>
        </w:rPr>
        <w:t>专业教师职称统计表，如表2所列；</w:t>
      </w:r>
      <w:r>
        <w:rPr>
          <w:rFonts w:ascii="Times New Roman" w:hAnsi="Times New Roman" w:cs="Times New Roman"/>
          <w:color w:val="000000" w:themeColor="text1"/>
          <w:sz w:val="24"/>
          <w14:textFill>
            <w14:solidFill>
              <w14:schemeClr w14:val="tx1"/>
            </w14:solidFill>
          </w14:textFill>
        </w:rPr>
        <w:t>本</w:t>
      </w:r>
      <w:r>
        <w:rPr>
          <w:rFonts w:ascii="Times New Roman" w:hAnsi="Times New Roman" w:cs="Times New Roman"/>
          <w:bCs/>
          <w:color w:val="000000" w:themeColor="text1"/>
          <w:kern w:val="0"/>
          <w:sz w:val="24"/>
          <w:szCs w:val="24"/>
          <w14:textFill>
            <w14:solidFill>
              <w14:schemeClr w14:val="tx1"/>
            </w14:solidFill>
          </w14:textFill>
        </w:rPr>
        <w:t>专业教师信息一览表</w:t>
      </w:r>
      <w:r>
        <w:rPr>
          <w:rFonts w:ascii="Times New Roman" w:hAnsi="Times New Roman" w:cs="Times New Roman"/>
          <w:color w:val="000000" w:themeColor="text1"/>
          <w:sz w:val="24"/>
          <w:szCs w:val="24"/>
          <w14:textFill>
            <w14:solidFill>
              <w14:schemeClr w14:val="tx1"/>
            </w14:solidFill>
          </w14:textFill>
        </w:rPr>
        <w:t>，如表3所列。</w:t>
      </w:r>
    </w:p>
    <w:p>
      <w:pPr>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表2 </w:t>
      </w:r>
      <w:r>
        <w:rPr>
          <w:rFonts w:ascii="Times New Roman" w:hAnsi="Times New Roman" w:cs="Times New Roman"/>
          <w:bCs/>
          <w:color w:val="000000" w:themeColor="text1"/>
          <w:kern w:val="0"/>
          <w:sz w:val="24"/>
          <w:szCs w:val="24"/>
          <w14:textFill>
            <w14:solidFill>
              <w14:schemeClr w14:val="tx1"/>
            </w14:solidFill>
          </w14:textFill>
        </w:rPr>
        <w:t>汽车服务工程</w:t>
      </w:r>
      <w:r>
        <w:rPr>
          <w:rFonts w:ascii="Times New Roman" w:hAnsi="Times New Roman" w:cs="Times New Roman"/>
          <w:color w:val="000000" w:themeColor="text1"/>
          <w:sz w:val="24"/>
          <w:szCs w:val="24"/>
          <w14:textFill>
            <w14:solidFill>
              <w14:schemeClr w14:val="tx1"/>
            </w14:solidFill>
          </w14:textFill>
        </w:rPr>
        <w:t>专业教师职称统计表</w:t>
      </w:r>
    </w:p>
    <w:tbl>
      <w:tblPr>
        <w:tblStyle w:val="4"/>
        <w:tblW w:w="9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88"/>
        <w:gridCol w:w="1111"/>
        <w:gridCol w:w="1301"/>
        <w:gridCol w:w="1206"/>
        <w:gridCol w:w="1206"/>
        <w:gridCol w:w="1143"/>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714" w:type="dxa"/>
            <w:vMerge w:val="restart"/>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教师情况</w:t>
            </w:r>
          </w:p>
        </w:tc>
        <w:tc>
          <w:tcPr>
            <w:tcW w:w="1888" w:type="dxa"/>
            <w:tcBorders>
              <w:tl2br w:val="single" w:color="auto" w:sz="4" w:space="0"/>
            </w:tcBorders>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职称</w:t>
            </w:r>
          </w:p>
          <w:p>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类别</w:t>
            </w:r>
          </w:p>
        </w:tc>
        <w:tc>
          <w:tcPr>
            <w:tcW w:w="1111"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教授</w:t>
            </w:r>
          </w:p>
        </w:tc>
        <w:tc>
          <w:tcPr>
            <w:tcW w:w="1301"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副教授</w:t>
            </w:r>
          </w:p>
        </w:tc>
        <w:tc>
          <w:tcPr>
            <w:tcW w:w="1206"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讲师</w:t>
            </w:r>
          </w:p>
        </w:tc>
        <w:tc>
          <w:tcPr>
            <w:tcW w:w="1206"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教员</w:t>
            </w:r>
          </w:p>
        </w:tc>
        <w:tc>
          <w:tcPr>
            <w:tcW w:w="1143"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助教</w:t>
            </w:r>
          </w:p>
        </w:tc>
        <w:tc>
          <w:tcPr>
            <w:tcW w:w="1118" w:type="dxa"/>
            <w:tcMar>
              <w:left w:w="0" w:type="dxa"/>
              <w:right w:w="0" w:type="dxa"/>
            </w:tcMar>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714" w:type="dxa"/>
            <w:vMerge w:val="continue"/>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888"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本校专任教师</w:t>
            </w:r>
          </w:p>
        </w:tc>
        <w:tc>
          <w:tcPr>
            <w:tcW w:w="1111"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p>
        </w:tc>
        <w:tc>
          <w:tcPr>
            <w:tcW w:w="1301"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w:t>
            </w:r>
          </w:p>
        </w:tc>
        <w:tc>
          <w:tcPr>
            <w:tcW w:w="1206"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w:t>
            </w:r>
          </w:p>
        </w:tc>
        <w:tc>
          <w:tcPr>
            <w:tcW w:w="1206"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c>
          <w:tcPr>
            <w:tcW w:w="1143"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w:t>
            </w:r>
          </w:p>
        </w:tc>
        <w:tc>
          <w:tcPr>
            <w:tcW w:w="1118"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714" w:type="dxa"/>
            <w:vMerge w:val="continue"/>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888"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本校兼任教师</w:t>
            </w:r>
          </w:p>
        </w:tc>
        <w:tc>
          <w:tcPr>
            <w:tcW w:w="1111"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c>
          <w:tcPr>
            <w:tcW w:w="1301"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p>
        </w:tc>
        <w:tc>
          <w:tcPr>
            <w:tcW w:w="1206"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p>
        </w:tc>
        <w:tc>
          <w:tcPr>
            <w:tcW w:w="1206"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c>
          <w:tcPr>
            <w:tcW w:w="1143"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c>
          <w:tcPr>
            <w:tcW w:w="1118"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714" w:type="dxa"/>
            <w:vMerge w:val="continue"/>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p>
        </w:tc>
        <w:tc>
          <w:tcPr>
            <w:tcW w:w="1888"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外校兼任教师</w:t>
            </w:r>
          </w:p>
        </w:tc>
        <w:tc>
          <w:tcPr>
            <w:tcW w:w="1111"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c>
          <w:tcPr>
            <w:tcW w:w="1301"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w:t>
            </w:r>
          </w:p>
        </w:tc>
        <w:tc>
          <w:tcPr>
            <w:tcW w:w="1206"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w:t>
            </w:r>
          </w:p>
        </w:tc>
        <w:tc>
          <w:tcPr>
            <w:tcW w:w="1206"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c>
          <w:tcPr>
            <w:tcW w:w="1143"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c>
          <w:tcPr>
            <w:tcW w:w="1118" w:type="dxa"/>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w:t>
            </w:r>
          </w:p>
        </w:tc>
      </w:tr>
    </w:tbl>
    <w:p>
      <w:pPr>
        <w:spacing w:line="360" w:lineRule="auto"/>
        <w:jc w:val="center"/>
        <w:rPr>
          <w:rFonts w:ascii="Times New Roman" w:hAnsi="Times New Roman" w:cs="Times New Roman"/>
          <w:bCs/>
          <w:color w:val="000000" w:themeColor="text1"/>
          <w:kern w:val="0"/>
          <w:sz w:val="24"/>
          <w:szCs w:val="24"/>
          <w14:textFill>
            <w14:solidFill>
              <w14:schemeClr w14:val="tx1"/>
            </w14:solidFill>
          </w14:textFill>
        </w:rPr>
      </w:pPr>
    </w:p>
    <w:p>
      <w:pPr>
        <w:spacing w:line="360" w:lineRule="auto"/>
        <w:jc w:val="center"/>
        <w:rPr>
          <w:rFonts w:ascii="Times New Roman" w:hAnsi="Times New Roman" w:cs="Times New Roman"/>
          <w:bCs/>
          <w:color w:val="000000" w:themeColor="text1"/>
          <w:kern w:val="0"/>
          <w:sz w:val="24"/>
          <w:szCs w:val="24"/>
          <w14:textFill>
            <w14:solidFill>
              <w14:schemeClr w14:val="tx1"/>
            </w14:solidFill>
          </w14:textFill>
        </w:rPr>
      </w:pPr>
      <w:r>
        <w:rPr>
          <w:rFonts w:ascii="Times New Roman" w:hAnsi="Times New Roman" w:cs="Times New Roman"/>
          <w:bCs/>
          <w:color w:val="000000" w:themeColor="text1"/>
          <w:kern w:val="0"/>
          <w:sz w:val="24"/>
          <w:szCs w:val="24"/>
          <w14:textFill>
            <w14:solidFill>
              <w14:schemeClr w14:val="tx1"/>
            </w14:solidFill>
          </w14:textFill>
        </w:rPr>
        <w:t>表3 汽车服务工程专业教师信息一览表</w:t>
      </w:r>
    </w:p>
    <w:tbl>
      <w:tblPr>
        <w:tblStyle w:val="4"/>
        <w:tblW w:w="9654" w:type="dxa"/>
        <w:jc w:val="center"/>
        <w:tblLayout w:type="autofit"/>
        <w:tblCellMar>
          <w:top w:w="0" w:type="dxa"/>
          <w:left w:w="108" w:type="dxa"/>
          <w:bottom w:w="0" w:type="dxa"/>
          <w:right w:w="108" w:type="dxa"/>
        </w:tblCellMar>
      </w:tblPr>
      <w:tblGrid>
        <w:gridCol w:w="796"/>
        <w:gridCol w:w="1088"/>
        <w:gridCol w:w="683"/>
        <w:gridCol w:w="1559"/>
        <w:gridCol w:w="851"/>
        <w:gridCol w:w="1275"/>
        <w:gridCol w:w="1276"/>
        <w:gridCol w:w="2126"/>
      </w:tblGrid>
      <w:tr>
        <w:tblPrEx>
          <w:tblCellMar>
            <w:top w:w="0" w:type="dxa"/>
            <w:left w:w="108" w:type="dxa"/>
            <w:bottom w:w="0" w:type="dxa"/>
            <w:right w:w="108" w:type="dxa"/>
          </w:tblCellMar>
        </w:tblPrEx>
        <w:trPr>
          <w:trHeight w:val="316"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序号</w:t>
            </w:r>
          </w:p>
        </w:tc>
        <w:tc>
          <w:tcPr>
            <w:tcW w:w="1088"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姓名</w:t>
            </w:r>
          </w:p>
        </w:tc>
        <w:tc>
          <w:tcPr>
            <w:tcW w:w="683"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性别</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学历</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学位</w:t>
            </w:r>
          </w:p>
        </w:tc>
        <w:tc>
          <w:tcPr>
            <w:tcW w:w="1275"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职称</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学缘</w:t>
            </w:r>
          </w:p>
        </w:tc>
        <w:tc>
          <w:tcPr>
            <w:tcW w:w="2126"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属性</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张玉华</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博士研究生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博士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教授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专业负责人</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黄昭明</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副教授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教研室主任</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3</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赵妞</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女</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副教授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教研室副主任</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4</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徐靖</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女</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讲师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院实训中心主任</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栾阔</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讲师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学院教学秘书</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6</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任龙军</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本科</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助教</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教研室秘书</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7</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汪怡然</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讲师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8</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韩笑笑</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女</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讲师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9</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王付远</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助教</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10</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丁春梅</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女</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助教</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11</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黄柳丽</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女</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助教</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本校专任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12</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陶兆胜</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副教授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本校兼任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13</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田瑞娇</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女</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讲师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本校兼任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14</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陈一永</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副教授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外校兼任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15</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张秋华</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女</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副教授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外校兼任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16</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张本松</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副教授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外校兼任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17</w:t>
            </w:r>
          </w:p>
        </w:tc>
        <w:tc>
          <w:tcPr>
            <w:tcW w:w="1088"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陈伟国</w:t>
            </w:r>
          </w:p>
        </w:tc>
        <w:tc>
          <w:tcPr>
            <w:tcW w:w="68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高级工程师</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外校兼任</w:t>
            </w:r>
          </w:p>
        </w:tc>
        <w:tc>
          <w:tcPr>
            <w:tcW w:w="2126"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18</w:t>
            </w:r>
          </w:p>
        </w:tc>
        <w:tc>
          <w:tcPr>
            <w:tcW w:w="10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王陶</w:t>
            </w:r>
          </w:p>
        </w:tc>
        <w:tc>
          <w:tcPr>
            <w:tcW w:w="6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讲师</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外校兼任</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19</w:t>
            </w:r>
          </w:p>
        </w:tc>
        <w:tc>
          <w:tcPr>
            <w:tcW w:w="10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王仕雄</w:t>
            </w:r>
          </w:p>
        </w:tc>
        <w:tc>
          <w:tcPr>
            <w:tcW w:w="6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讲师</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外校兼任</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w:t>
            </w:r>
          </w:p>
        </w:tc>
        <w:tc>
          <w:tcPr>
            <w:tcW w:w="10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胡李勇</w:t>
            </w:r>
          </w:p>
        </w:tc>
        <w:tc>
          <w:tcPr>
            <w:tcW w:w="6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男</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讲师</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外校兼任</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316"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21</w:t>
            </w:r>
          </w:p>
        </w:tc>
        <w:tc>
          <w:tcPr>
            <w:tcW w:w="10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王利</w:t>
            </w:r>
          </w:p>
        </w:tc>
        <w:tc>
          <w:tcPr>
            <w:tcW w:w="6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女</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硕士研究生</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硕士</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讲师</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外校兼任</w:t>
            </w:r>
          </w:p>
        </w:tc>
        <w:tc>
          <w:tcPr>
            <w:tcW w:w="21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　</w:t>
            </w:r>
          </w:p>
        </w:tc>
      </w:tr>
    </w:tbl>
    <w:p>
      <w:pPr>
        <w:spacing w:line="360" w:lineRule="auto"/>
        <w:ind w:firstLine="480"/>
        <w:outlineLvl w:val="1"/>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2.2专业教师配置及结构</w:t>
      </w:r>
    </w:p>
    <w:p>
      <w:pPr>
        <w:spacing w:line="360" w:lineRule="auto"/>
        <w:ind w:firstLine="480"/>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专业教师21名，专业核心课教师6名。其中具有研究生及以上学历95%，副教授及以上职称达到38%。专任教师每学期至少负责讲授一门专业课，兼任教师近三年承担至少两门及以上专业课、实践教学或毕业论文指导。近三年内开设不低于两门课程的教师占专任教师的比例达到100%。省级教学名师1人，安徽省卓越教学新秀1人，省级教坛新秀1人。</w:t>
      </w:r>
    </w:p>
    <w:p>
      <w:pPr>
        <w:spacing w:line="360" w:lineRule="auto"/>
        <w:ind w:firstLine="480"/>
        <w:outlineLvl w:val="1"/>
        <w:rPr>
          <w:rFonts w:ascii="Times New Roman" w:hAnsi="Times New Roman" w:cs="Times New Roman"/>
          <w:b/>
          <w:color w:val="000000" w:themeColor="text1"/>
          <w:sz w:val="24"/>
          <w14:textFill>
            <w14:solidFill>
              <w14:schemeClr w14:val="tx1"/>
            </w14:solidFill>
          </w14:textFill>
        </w:rPr>
      </w:pPr>
    </w:p>
    <w:p>
      <w:pPr>
        <w:spacing w:line="360" w:lineRule="auto"/>
        <w:ind w:firstLine="480"/>
        <w:outlineLvl w:val="1"/>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2.3教师教学与科研能力</w:t>
      </w:r>
    </w:p>
    <w:p>
      <w:pPr>
        <w:spacing w:line="360" w:lineRule="auto"/>
        <w:ind w:firstLine="470" w:firstLineChars="196"/>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szCs w:val="24"/>
          <w:lang w:bidi="ar"/>
          <w14:textFill>
            <w14:solidFill>
              <w14:schemeClr w14:val="tx1"/>
            </w14:solidFill>
          </w14:textFill>
        </w:rPr>
        <w:t>本专业专兼职教师具有企业或相关工程实践经验，占教师总数的60%以上，有多位教师具有工程设计和研究背景，专业教师中具有一批学术水平、教学水平高的教师。</w:t>
      </w:r>
      <w:r>
        <w:rPr>
          <w:rFonts w:ascii="Times New Roman" w:hAnsi="Times New Roman" w:cs="Times New Roman"/>
          <w:color w:val="000000" w:themeColor="text1"/>
          <w:sz w:val="24"/>
          <w14:textFill>
            <w14:solidFill>
              <w14:schemeClr w14:val="tx1"/>
            </w14:solidFill>
          </w14:textFill>
        </w:rPr>
        <w:t>教学方面：汽车服务工程专业教师秉承育人为本的原则，理论结合实际，坚持教学内容更新和教学方法改革，力争在更专业基础上，让学生更容易学好专业课。完成校级教学项目20余项，参加教师讲课竞赛20余次，教学能力深受学生好评。</w:t>
      </w:r>
    </w:p>
    <w:p>
      <w:pPr>
        <w:spacing w:line="360" w:lineRule="auto"/>
        <w:ind w:firstLine="480" w:firstLineChars="200"/>
        <w:rPr>
          <w:rFonts w:ascii="Times New Roman" w:hAnsi="Times New Roman" w:cs="Times New Roman"/>
          <w:color w:val="000000" w:themeColor="text1"/>
          <w:sz w:val="24"/>
          <w:szCs w:val="24"/>
          <w:lang w:bidi="ar"/>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依托</w:t>
      </w:r>
      <w:r>
        <w:rPr>
          <w:rFonts w:ascii="Times New Roman" w:hAnsi="Times New Roman" w:cs="Times New Roman"/>
          <w:color w:val="000000" w:themeColor="text1"/>
          <w:sz w:val="24"/>
          <w:szCs w:val="24"/>
          <w:lang w:bidi="ar"/>
          <w14:textFill>
            <w14:solidFill>
              <w14:schemeClr w14:val="tx1"/>
            </w14:solidFill>
          </w14:textFill>
        </w:rPr>
        <w:t>本专业教师</w:t>
      </w:r>
      <w:r>
        <w:rPr>
          <w:rFonts w:ascii="Times New Roman" w:hAnsi="Times New Roman" w:cs="Times New Roman"/>
          <w:color w:val="000000" w:themeColor="text1"/>
          <w:sz w:val="24"/>
          <w14:textFill>
            <w14:solidFill>
              <w14:schemeClr w14:val="tx1"/>
            </w14:solidFill>
          </w14:textFill>
        </w:rPr>
        <w:t>建有教学省级教学团队1个，市厅级、校级科技平台7个，2个市级科技平台正在筹建，所建教学团队与科技平台能够很好的服务于汽车服务工程专业师生，较好地满足了本专业应用型人才培养需要。学院教学团队与科技平台基本信息，如表4所示。</w:t>
      </w:r>
    </w:p>
    <w:p>
      <w:pPr>
        <w:spacing w:line="360" w:lineRule="auto"/>
        <w:jc w:val="center"/>
        <w:outlineLvl w:val="1"/>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表4 学院教学团队与科技平台基本信息表</w:t>
      </w:r>
    </w:p>
    <w:tbl>
      <w:tblPr>
        <w:tblStyle w:val="4"/>
        <w:tblW w:w="9660" w:type="dxa"/>
        <w:jc w:val="center"/>
        <w:tblLayout w:type="autofit"/>
        <w:tblCellMar>
          <w:top w:w="0" w:type="dxa"/>
          <w:left w:w="108" w:type="dxa"/>
          <w:bottom w:w="0" w:type="dxa"/>
          <w:right w:w="108" w:type="dxa"/>
        </w:tblCellMar>
      </w:tblPr>
      <w:tblGrid>
        <w:gridCol w:w="726"/>
        <w:gridCol w:w="6804"/>
        <w:gridCol w:w="851"/>
        <w:gridCol w:w="1279"/>
      </w:tblGrid>
      <w:tr>
        <w:tblPrEx>
          <w:tblCellMar>
            <w:top w:w="0" w:type="dxa"/>
            <w:left w:w="108" w:type="dxa"/>
            <w:bottom w:w="0" w:type="dxa"/>
            <w:right w:w="108" w:type="dxa"/>
          </w:tblCellMar>
        </w:tblPrEx>
        <w:trPr>
          <w:trHeight w:val="270" w:hRule="atLeast"/>
          <w:jc w:val="center"/>
        </w:trPr>
        <w:tc>
          <w:tcPr>
            <w:tcW w:w="7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序号</w:t>
            </w:r>
          </w:p>
        </w:tc>
        <w:tc>
          <w:tcPr>
            <w:tcW w:w="6804"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平台名称</w:t>
            </w:r>
          </w:p>
        </w:tc>
        <w:tc>
          <w:tcPr>
            <w:tcW w:w="851"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级别</w:t>
            </w:r>
          </w:p>
        </w:tc>
        <w:tc>
          <w:tcPr>
            <w:tcW w:w="1279"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成立时间</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安徽省教育厅模具设计教学团队</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厅级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2019年</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安徽省教育厅无人机开发及数据应用重点实验室</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厅级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2019年</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3</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马鞍山市汽车冲压模具先进设计工程技术研究中心</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市级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2019年</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4</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马鞍山市黄昭明技能大师工作室</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市级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2018年</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5</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马鞍山市内燃机燃烧科学与技术重点实验室</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市级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筹建中</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6</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马鞍山市高性能工程复合材料设计成型与应用重点实验室</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市级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筹建中</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7</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皖江工学院机械工程研究所</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校级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2015年</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8</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皖江工学院机械工程重点学科</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校级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2020年</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9</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皖江工学院能源领域创新科研平台</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校级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2020年</w:t>
            </w:r>
          </w:p>
        </w:tc>
      </w:tr>
      <w:tr>
        <w:tblPrEx>
          <w:tblCellMar>
            <w:top w:w="0" w:type="dxa"/>
            <w:left w:w="108" w:type="dxa"/>
            <w:bottom w:w="0" w:type="dxa"/>
            <w:right w:w="108" w:type="dxa"/>
          </w:tblCellMar>
        </w:tblPrEx>
        <w:trPr>
          <w:trHeight w:val="270" w:hRule="atLeast"/>
          <w:jc w:val="center"/>
        </w:trPr>
        <w:tc>
          <w:tcPr>
            <w:tcW w:w="726"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10</w:t>
            </w:r>
          </w:p>
        </w:tc>
        <w:tc>
          <w:tcPr>
            <w:tcW w:w="6804"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皖江工学院电动汽车控制系统性能检测及故障诊断与优化科研平台</w:t>
            </w:r>
          </w:p>
        </w:tc>
        <w:tc>
          <w:tcPr>
            <w:tcW w:w="85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校级</w:t>
            </w:r>
          </w:p>
        </w:tc>
        <w:tc>
          <w:tcPr>
            <w:tcW w:w="127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cs="Times New Roman"/>
                <w:color w:val="000000" w:themeColor="text1"/>
                <w:kern w:val="0"/>
                <w:szCs w:val="21"/>
                <w14:textFill>
                  <w14:solidFill>
                    <w14:schemeClr w14:val="tx1"/>
                  </w14:solidFill>
                </w14:textFill>
              </w:rPr>
            </w:pPr>
            <w:r>
              <w:rPr>
                <w:rFonts w:ascii="Times New Roman" w:hAnsi="Times New Roman" w:cs="Times New Roman"/>
                <w:color w:val="000000" w:themeColor="text1"/>
                <w:kern w:val="0"/>
                <w:szCs w:val="21"/>
                <w14:textFill>
                  <w14:solidFill>
                    <w14:schemeClr w14:val="tx1"/>
                  </w14:solidFill>
                </w14:textFill>
              </w:rPr>
              <w:t>2020年</w:t>
            </w:r>
          </w:p>
        </w:tc>
      </w:tr>
    </w:tbl>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lang w:bidi="ar"/>
          <w14:textFill>
            <w14:solidFill>
              <w14:schemeClr w14:val="tx1"/>
            </w14:solidFill>
          </w14:textFill>
        </w:rPr>
        <w:t>教学与科研是具有内在联系且不可分割的统一体。为更好的培养创新型人才，积极鼓励教师参与科学研究，通过科学研究有利于提高自身的学术水平和教学水平，并能及时将学科前沿知识向教学内容渗透，向学生传递最新的科学信息，从而提高学生的学习兴趣和积极性，提高学生的培养质量。</w:t>
      </w:r>
      <w:r>
        <w:rPr>
          <w:rFonts w:ascii="Times New Roman" w:hAnsi="Times New Roman" w:cs="Times New Roman"/>
          <w:color w:val="000000" w:themeColor="text1"/>
          <w:sz w:val="24"/>
          <w14:textFill>
            <w14:solidFill>
              <w14:schemeClr w14:val="tx1"/>
            </w14:solidFill>
          </w14:textFill>
        </w:rPr>
        <w:t>在校科技部带领下，本专业教师科研成果丰硕。近三年本专业教师承担市省级以上教科研项目60余项，发表论文200余篇，其中SCI、EI、ISTP世界著名的三大科技文献检索42篇；承担各级横向项目12项；拥有发明专利、实用新型专利、外观专利、软件著作权50余项。近三年汽车服务工程专业专兼职教师论文发表一览表（表5）；近三年本专业专兼职教师专利申报一览表（表6）；近三年本专业教师科研项目申请一览表（表7）。</w:t>
      </w:r>
    </w:p>
    <w:p>
      <w:pPr>
        <w:spacing w:line="360" w:lineRule="auto"/>
        <w:ind w:firstLine="470" w:firstLineChars="196"/>
        <w:jc w:val="center"/>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表5 近三年本专业教师论文发表一览表</w:t>
      </w:r>
    </w:p>
    <w:tbl>
      <w:tblPr>
        <w:tblStyle w:val="4"/>
        <w:tblW w:w="0" w:type="auto"/>
        <w:jc w:val="center"/>
        <w:tblLayout w:type="fixed"/>
        <w:tblCellMar>
          <w:top w:w="0" w:type="dxa"/>
          <w:left w:w="108" w:type="dxa"/>
          <w:bottom w:w="0" w:type="dxa"/>
          <w:right w:w="108" w:type="dxa"/>
        </w:tblCellMar>
      </w:tblPr>
      <w:tblGrid>
        <w:gridCol w:w="645"/>
        <w:gridCol w:w="1609"/>
        <w:gridCol w:w="4133"/>
        <w:gridCol w:w="1706"/>
        <w:gridCol w:w="851"/>
        <w:gridCol w:w="674"/>
      </w:tblGrid>
      <w:tr>
        <w:tblPrEx>
          <w:tblCellMar>
            <w:top w:w="0" w:type="dxa"/>
            <w:left w:w="108" w:type="dxa"/>
            <w:bottom w:w="0" w:type="dxa"/>
            <w:right w:w="108" w:type="dxa"/>
          </w:tblCellMar>
        </w:tblPrEx>
        <w:trPr>
          <w:trHeight w:val="312" w:hRule="atLeast"/>
          <w:tblHeader/>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109" w:beforeLines="35" w:after="109" w:afterLines="35"/>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序号</w:t>
            </w:r>
          </w:p>
        </w:tc>
        <w:tc>
          <w:tcPr>
            <w:tcW w:w="1609"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109" w:beforeLines="35" w:after="109" w:afterLines="35"/>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作者</w:t>
            </w:r>
          </w:p>
        </w:tc>
        <w:tc>
          <w:tcPr>
            <w:tcW w:w="4133"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109" w:beforeLines="35" w:after="109" w:afterLines="35"/>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成果名称</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109" w:beforeLines="35" w:after="109" w:afterLines="35"/>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期刊</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109" w:beforeLines="35" w:after="109" w:afterLines="35"/>
              <w:ind w:left="-107" w:leftChars="-51" w:right="-107" w:rightChars="-51"/>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发表年</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before="109" w:beforeLines="35" w:after="109" w:afterLines="35"/>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检索</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Shichang Han, Zhaoming Huang, Jing Xu</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Facile synthesis of co-doped VO</w:t>
            </w:r>
            <w:r>
              <w:rPr>
                <w:rFonts w:ascii="Times New Roman" w:hAnsi="Times New Roman" w:cs="Times New Roman"/>
                <w:color w:val="000000" w:themeColor="text1"/>
                <w:sz w:val="18"/>
                <w:szCs w:val="18"/>
                <w:vertAlign w:val="subscript"/>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(B) as the cathode material for Lithium-Ion batteries with enhanced electrochemical performance.</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International Journal of Electrochemical Science</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Zhaoming Huang, Kai Shen, Li Wang,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Experimental study on the effects of Miller cycle with high compression ratios on performance and emissions of downsized turbocharged GDI engine.</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Advances in Mechanical Engineering</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Huili Jia, Jianping Li, Li Wang, Zhaoming Huang,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Effect of surfactants on the electrochemical performance of FeS</w:t>
            </w:r>
            <w:r>
              <w:rPr>
                <w:rFonts w:ascii="Times New Roman" w:hAnsi="Times New Roman" w:cs="Times New Roman"/>
                <w:color w:val="000000" w:themeColor="text1"/>
                <w:sz w:val="18"/>
                <w:szCs w:val="18"/>
                <w:vertAlign w:val="subscript"/>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 xml:space="preserve"> synthesized by hydrothermal method</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International Journal of Electrochemical Science</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三区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Jianwu Wang, Jing Xu, Zhaoming Huang,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Preparation of nitrogen-doped three-dimensional hierarchical porous carbon/sulfur composite cathodes for high-performance aluminum-sulfur batteries</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Fullerenes, Nanotubes and Carbon Nanostructures</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Jianping Li, Zhaoming Huang, Wang Ke,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High solar-to-hydrogen efficiency in Arsenene/GaX (X = S, Se) van der Waals heterostructure for photocatalytic water splitting</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Journal of Alloys and Compounds</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二区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Huaiyu Zhong, Chao Lin, Yang Sun,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Boundary layer wind tunnel modeling experiments on pumping ventilation through a three-story reduce-scaled building with two openings</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Building and Environment</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二区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Zijun Zheng, Kai Ren, Zhaoming Huang,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Remarkably improved curie temperature for two-dimensional CrI3 by gas molecular adsorption: A DFT study</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Semiconductor Science and Technology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三区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8</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Jing Xu,Rui Jiao Tian, Ping Jiang,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Effect of chelating agents on the electrochemical performance of Li</w:t>
            </w:r>
            <w:r>
              <w:rPr>
                <w:rFonts w:ascii="Times New Roman" w:hAnsi="Times New Roman" w:cs="Times New Roman"/>
                <w:color w:val="000000" w:themeColor="text1"/>
                <w:sz w:val="18"/>
                <w:szCs w:val="18"/>
                <w:vertAlign w:val="subscript"/>
                <w14:textFill>
                  <w14:solidFill>
                    <w14:schemeClr w14:val="tx1"/>
                  </w14:solidFill>
                </w14:textFill>
              </w:rPr>
              <w:t>3</w:t>
            </w:r>
            <w:r>
              <w:rPr>
                <w:rFonts w:ascii="Times New Roman" w:hAnsi="Times New Roman" w:cs="Times New Roman"/>
                <w:color w:val="000000" w:themeColor="text1"/>
                <w:sz w:val="18"/>
                <w:szCs w:val="18"/>
                <w14:textFill>
                  <w14:solidFill>
                    <w14:schemeClr w14:val="tx1"/>
                  </w14:solidFill>
                </w14:textFill>
              </w:rPr>
              <w:t>V</w:t>
            </w:r>
            <w:r>
              <w:rPr>
                <w:rFonts w:ascii="Times New Roman" w:hAnsi="Times New Roman" w:cs="Times New Roman"/>
                <w:color w:val="000000" w:themeColor="text1"/>
                <w:sz w:val="18"/>
                <w:szCs w:val="18"/>
                <w:vertAlign w:val="subscript"/>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(PO</w:t>
            </w:r>
            <w:r>
              <w:rPr>
                <w:rFonts w:ascii="Times New Roman" w:hAnsi="Times New Roman" w:cs="Times New Roman"/>
                <w:color w:val="000000" w:themeColor="text1"/>
                <w:sz w:val="18"/>
                <w:szCs w:val="18"/>
                <w:vertAlign w:val="subscript"/>
                <w14:textFill>
                  <w14:solidFill>
                    <w14:schemeClr w14:val="tx1"/>
                  </w14:solidFill>
                </w14:textFill>
              </w:rPr>
              <w:t>4</w:t>
            </w:r>
            <w:r>
              <w:rPr>
                <w:rFonts w:ascii="Times New Roman" w:hAnsi="Times New Roman" w:cs="Times New Roman"/>
                <w:color w:val="000000" w:themeColor="text1"/>
                <w:sz w:val="18"/>
                <w:szCs w:val="18"/>
                <w14:textFill>
                  <w14:solidFill>
                    <w14:schemeClr w14:val="tx1"/>
                  </w14:solidFill>
                </w14:textFill>
              </w:rPr>
              <w:t>)</w:t>
            </w:r>
            <w:r>
              <w:rPr>
                <w:rFonts w:ascii="Times New Roman" w:hAnsi="Times New Roman" w:cs="Times New Roman"/>
                <w:color w:val="000000" w:themeColor="text1"/>
                <w:sz w:val="18"/>
                <w:szCs w:val="18"/>
                <w:vertAlign w:val="subscript"/>
                <w14:textFill>
                  <w14:solidFill>
                    <w14:schemeClr w14:val="tx1"/>
                  </w14:solidFill>
                </w14:textFill>
              </w:rPr>
              <w:t>3</w:t>
            </w:r>
            <w:r>
              <w:rPr>
                <w:rFonts w:ascii="Times New Roman" w:hAnsi="Times New Roman" w:cs="Times New Roman"/>
                <w:color w:val="000000" w:themeColor="text1"/>
                <w:sz w:val="18"/>
                <w:szCs w:val="18"/>
                <w14:textFill>
                  <w14:solidFill>
                    <w14:schemeClr w14:val="tx1"/>
                  </w14:solidFill>
                </w14:textFill>
              </w:rPr>
              <w:t xml:space="preserve"> /C composite</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Fullerenes Nanotubes and Carbon Nanostructures</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9</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Zhengyang Zhu, Kai Ren, Huabing Shu,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Frist-principles study of electronic and optical properties of two-dimensional WSSe/BSe van der waals heterostructure with high solar-to-hydrogen efficiency</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Catalysts</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三区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10</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Yiran Wang, Xiaodong Yu, Xiaoxiao Han,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Influences of eccentricity ratio on the internal flow and cavitation characteristics of progressing cavity pump</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Proceedings of the institution of mechanical engineers part c-journal</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Jing Xu, Guang Chen, Xiangjun Bao.,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 study on the heat transfer characteristics of steel plate in the matrix laminar cooling process</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Materials</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Li Wang, Zhaoming Huang, Tao Wang,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 Economy and emission characteristics of the optimal dilution strategy in lean combustion based on GDI gasoline engine equipped with prechamber</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Advances in Mechanical Engineering</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Junbin Lou, Kai Ren,Zhaoming Huang</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Electronic and optical properties of two-dimensional heterostructures based on Janus XSSe (X = Mo, W) and Mg (OH)</w:t>
            </w:r>
            <w:r>
              <w:rPr>
                <w:rFonts w:ascii="Times New Roman" w:hAnsi="Times New Roman" w:cs="Times New Roman"/>
                <w:color w:val="000000" w:themeColor="text1"/>
                <w:sz w:val="18"/>
                <w:szCs w:val="18"/>
                <w:vertAlign w:val="subscript"/>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 a first-principles investigation</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Royal Society of Chemistry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二区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14</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Wei Duan, Zhaoming Huang, Hong Chen,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Effects of passive pre-chamber jet ignition on combustion and emission at gasoline engine</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Advances in Mechanical Engineering</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15</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Zhaoming Huang, Li Wang, Tao Wang,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Effects of dilution combustion and miller cycle on the performance of gasoline engine</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International Journal of Automotive Technology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SCI</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Changqing Shao, Kai Ren, Zhaoming Huang,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Two-dimensional PtS</w:t>
            </w:r>
            <w:r>
              <w:rPr>
                <w:rFonts w:ascii="Times New Roman" w:hAnsi="Times New Roman" w:cs="Times New Roman"/>
                <w:color w:val="000000" w:themeColor="text1"/>
                <w:sz w:val="18"/>
                <w:szCs w:val="18"/>
                <w:vertAlign w:val="subscript"/>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/MoTe</w:t>
            </w:r>
            <w:r>
              <w:rPr>
                <w:rFonts w:ascii="Times New Roman" w:hAnsi="Times New Roman" w:cs="Times New Roman"/>
                <w:color w:val="000000" w:themeColor="text1"/>
                <w:sz w:val="18"/>
                <w:szCs w:val="18"/>
                <w:vertAlign w:val="subscript"/>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 xml:space="preserve"> van der Waals heterostructure: An efficient potential photocatalyst for water splitting</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Frontiers in Chemistry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SCI</w:t>
            </w:r>
          </w:p>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三区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17</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Zhaoming Huang, Jianping Li, Kai Shen,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Research of comprehensive effects on performance and emission of GDI gasoline engine with electric supercharger and EGR</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International Journal of Automotive Technology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SCI</w:t>
            </w:r>
          </w:p>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18</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Zhongliang Shen, Kai Ren, Ruxing Zheng,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The Thermal and Electronic Properties of the Lateral Janus MoSSe/WSSe Heterostructure</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Frontiers in Materials,</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SCI</w:t>
            </w:r>
          </w:p>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三区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19</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Zijun Zheng, Zhaoming Huang, Tao Wang,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Research on the influence of heat transfer of combustion chamber wall on the performance of gasoline engine based on polishing technology</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International Journal of Automotive Technology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SCI</w:t>
            </w:r>
          </w:p>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Qiuhua Zhang, Kai Ren, Ruxing Zheng,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First-Principles Calculations of Two-Dimensional CdO/HfS</w:t>
            </w:r>
            <w:r>
              <w:rPr>
                <w:rFonts w:ascii="Times New Roman" w:hAnsi="Times New Roman" w:cs="Times New Roman"/>
                <w:color w:val="000000" w:themeColor="text1"/>
                <w:sz w:val="18"/>
                <w:szCs w:val="18"/>
                <w:vertAlign w:val="subscript"/>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 xml:space="preserve"> Van der Waals Heterostructure: Direct Z-Scheme Photocatalytic Water Splitting</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Frontiers in Chemistry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SCI</w:t>
            </w:r>
          </w:p>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三区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Yan Hu, Zhaoming Huang, Li Wang,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76" w:lineRule="auto"/>
              <w:ind w:left="360" w:right="-1" w:hanging="360" w:hangingChars="200"/>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Experimental Study on Combustion and Emissions of a Compression Ignition Engine Fueled with Gasoline</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Advances in Mechanical Engineering</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SCI</w:t>
            </w:r>
          </w:p>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Li Zhang, Zhaoming Huang, Tao Wang,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 Lean combustion and emission performance of a gasoline direct injection engine with active pre-chamber</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Advances in Mechanical Engineering</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SCI</w:t>
            </w:r>
          </w:p>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四区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23</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Li Zhang, Kai Ren,Zhen Cui.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The First-principles study of external strain tuning the electronic and optical properties of the 2D MoTe</w:t>
            </w:r>
            <w:r>
              <w:rPr>
                <w:rFonts w:ascii="Times New Roman" w:hAnsi="Times New Roman" w:cs="Times New Roman"/>
                <w:color w:val="000000" w:themeColor="text1"/>
                <w:sz w:val="18"/>
                <w:szCs w:val="18"/>
                <w:vertAlign w:val="subscript"/>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/PtS</w:t>
            </w:r>
            <w:r>
              <w:rPr>
                <w:rFonts w:ascii="Times New Roman" w:hAnsi="Times New Roman" w:cs="Times New Roman"/>
                <w:color w:val="000000" w:themeColor="text1"/>
                <w:sz w:val="18"/>
                <w:szCs w:val="18"/>
                <w:vertAlign w:val="subscript"/>
                <w14:textFill>
                  <w14:solidFill>
                    <w14:schemeClr w14:val="tx1"/>
                  </w14:solidFill>
                </w14:textFill>
              </w:rPr>
              <w:t>2</w:t>
            </w:r>
            <w:r>
              <w:rPr>
                <w:rFonts w:ascii="Times New Roman" w:hAnsi="Times New Roman" w:cs="Times New Roman"/>
                <w:color w:val="000000" w:themeColor="text1"/>
                <w:sz w:val="18"/>
                <w:szCs w:val="18"/>
                <w14:textFill>
                  <w14:solidFill>
                    <w14:schemeClr w14:val="tx1"/>
                  </w14:solidFill>
                </w14:textFill>
              </w:rPr>
              <w:t xml:space="preserve"> van der waals heterostructure</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Frontiers in Chemistry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SCI</w:t>
            </w:r>
          </w:p>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三区</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24</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Zeng, H., Huang, Z., Wang, T., Sun, H.,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Optimal Design and Forming Analysis of the Stamping Process for Front Wall of Automobile Considering Springback Compensation Technology</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SAE Technical Paper </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EI</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25</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fldChar w:fldCharType="begin"/>
            </w:r>
            <w:r>
              <w:instrText xml:space="preserve"> HYPERLINK "https://xueshu.baidu.com/s?wd=author%3A%28Jing%20Xu%29%20&amp;tn=SE_baiduxueshu_c1gjeupa&amp;ie=utf-8&amp;sc_f_para=sc_hilight%3Dperson" \t "_blank" </w:instrText>
            </w:r>
            <w:r>
              <w:fldChar w:fldCharType="separate"/>
            </w:r>
            <w:r>
              <w:rPr>
                <w:rFonts w:ascii="Times New Roman" w:hAnsi="Times New Roman" w:cs="Times New Roman"/>
                <w:color w:val="000000" w:themeColor="text1"/>
                <w:sz w:val="18"/>
                <w:szCs w:val="18"/>
                <w14:textFill>
                  <w14:solidFill>
                    <w14:schemeClr w14:val="tx1"/>
                  </w14:solidFill>
                </w14:textFill>
              </w:rPr>
              <w:t>Jing Xu</w:t>
            </w:r>
            <w:r>
              <w:rPr>
                <w:rFonts w:ascii="Times New Roman" w:hAnsi="Times New Roman" w:cs="Times New Roman"/>
                <w:color w:val="000000" w:themeColor="text1"/>
                <w:sz w:val="18"/>
                <w:szCs w:val="18"/>
                <w14:textFill>
                  <w14:solidFill>
                    <w14:schemeClr w14:val="tx1"/>
                  </w14:solidFill>
                </w14:textFill>
              </w:rPr>
              <w:fldChar w:fldCharType="end"/>
            </w:r>
            <w:r>
              <w:rPr>
                <w:rFonts w:ascii="Times New Roman" w:hAnsi="Times New Roman" w:cs="Times New Roman"/>
                <w:color w:val="000000" w:themeColor="text1"/>
                <w:sz w:val="18"/>
                <w:szCs w:val="18"/>
                <w14:textFill>
                  <w14:solidFill>
                    <w14:schemeClr w14:val="tx1"/>
                  </w14:solidFill>
                </w14:textFill>
              </w:rPr>
              <w:t xml:space="preserve">, </w:t>
            </w:r>
            <w:r>
              <w:fldChar w:fldCharType="begin"/>
            </w:r>
            <w:r>
              <w:instrText xml:space="preserve"> HYPERLINK "https://xueshu.baidu.com/s?wd=author%3A%28Ruijiao%20Tian%29%20&amp;tn=SE_baiduxueshu_c1gjeupa&amp;ie=utf-8&amp;sc_f_para=sc_hilight%3Dperson" \t "_blank" </w:instrText>
            </w:r>
            <w:r>
              <w:fldChar w:fldCharType="separate"/>
            </w:r>
            <w:r>
              <w:rPr>
                <w:rFonts w:ascii="Times New Roman" w:hAnsi="Times New Roman" w:cs="Times New Roman"/>
                <w:color w:val="000000" w:themeColor="text1"/>
                <w:sz w:val="18"/>
                <w:szCs w:val="18"/>
                <w14:textFill>
                  <w14:solidFill>
                    <w14:schemeClr w14:val="tx1"/>
                  </w14:solidFill>
                </w14:textFill>
              </w:rPr>
              <w:t>Ruijiao Tian</w:t>
            </w:r>
            <w:r>
              <w:rPr>
                <w:rFonts w:ascii="Times New Roman" w:hAnsi="Times New Roman" w:cs="Times New Roman"/>
                <w:color w:val="000000" w:themeColor="text1"/>
                <w:sz w:val="18"/>
                <w:szCs w:val="18"/>
                <w14:textFill>
                  <w14:solidFill>
                    <w14:schemeClr w14:val="tx1"/>
                  </w14:solidFill>
                </w14:textFill>
              </w:rPr>
              <w:fldChar w:fldCharType="end"/>
            </w:r>
            <w:r>
              <w:rPr>
                <w:rFonts w:ascii="Times New Roman" w:hAnsi="Times New Roman" w:cs="Times New Roman"/>
                <w:color w:val="000000" w:themeColor="text1"/>
                <w:sz w:val="18"/>
                <w:szCs w:val="18"/>
                <w14:textFill>
                  <w14:solidFill>
                    <w14:schemeClr w14:val="tx1"/>
                  </w14:solidFill>
                </w14:textFill>
              </w:rPr>
              <w:t xml:space="preserve">, </w:t>
            </w:r>
            <w:r>
              <w:fldChar w:fldCharType="begin"/>
            </w:r>
            <w:r>
              <w:instrText xml:space="preserve"> HYPERLINK "https://xueshu.baidu.com/s?wd=author%3A%28Ping%20Jiang%29%20&amp;tn=SE_baiduxueshu_c1gjeupa&amp;ie=utf-8&amp;sc_f_para=sc_hilight%3Dperson" \t "_blank" </w:instrText>
            </w:r>
            <w:r>
              <w:fldChar w:fldCharType="separate"/>
            </w:r>
            <w:r>
              <w:rPr>
                <w:rFonts w:ascii="Times New Roman" w:hAnsi="Times New Roman" w:cs="Times New Roman"/>
                <w:color w:val="000000" w:themeColor="text1"/>
                <w:sz w:val="18"/>
                <w:szCs w:val="18"/>
                <w14:textFill>
                  <w14:solidFill>
                    <w14:schemeClr w14:val="tx1"/>
                  </w14:solidFill>
                </w14:textFill>
              </w:rPr>
              <w:t>Ping Jiang</w:t>
            </w:r>
            <w:r>
              <w:rPr>
                <w:rFonts w:ascii="Times New Roman" w:hAnsi="Times New Roman" w:cs="Times New Roman"/>
                <w:color w:val="000000" w:themeColor="text1"/>
                <w:sz w:val="18"/>
                <w:szCs w:val="18"/>
                <w14:textFill>
                  <w14:solidFill>
                    <w14:schemeClr w14:val="tx1"/>
                  </w14:solidFill>
                </w14:textFill>
              </w:rPr>
              <w:fldChar w:fldCharType="end"/>
            </w:r>
            <w:r>
              <w:rPr>
                <w:rFonts w:ascii="Times New Roman" w:hAnsi="Times New Roman" w:cs="Times New Roman"/>
                <w:color w:val="000000" w:themeColor="text1"/>
                <w:sz w:val="18"/>
                <w:szCs w:val="18"/>
                <w14:textFill>
                  <w14:solidFill>
                    <w14:schemeClr w14:val="tx1"/>
                  </w14:solidFill>
                </w14:textFill>
              </w:rPr>
              <w:t>,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Experimental study on soot characteristics of laminar co-flow ethylene diffused flame under air atmosphere</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 EECM</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EI</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26</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Jiang Ping</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Experimental study on the Regeneration Process of the Dehumidification System of Lithium Bromide Solution Based on Computer</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Journal of Physics conference Series</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EI</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27</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Gai Yan, Yanping Zheng, Lieliang Wang, et al</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 Optimization of stamping process parameters based on orthogonal test and intelligent algorithm</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WCMEIM</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EI</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28</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高光辉,沈凯,黄昭明,等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直喷汽油机采用不同缸内稀释技术的性能研究</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内燃机工程</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107" w:leftChars="-51" w:right="-143" w:rightChars="-68"/>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CSCD</w:t>
            </w:r>
          </w:p>
          <w:p>
            <w:pPr>
              <w:snapToGrid w:val="0"/>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北核</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29</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赵殿明,黄昭明,王利,等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发动机油底壳自动线多工位传递模设计与应用</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锻压技术</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107" w:leftChars="-51" w:right="-143" w:rightChars="-68"/>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CSCD</w:t>
            </w:r>
          </w:p>
          <w:p>
            <w:pPr>
              <w:snapToGrid w:val="0"/>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北核</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30</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黄昭明,沈凯,安宗权,等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不同压缩比米勒循环和低压废气再循环对增压直喷汽油机性能影响</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内燃机工程</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107" w:leftChars="-51" w:right="-143" w:rightChars="-68"/>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CSCD</w:t>
            </w:r>
          </w:p>
          <w:p>
            <w:pPr>
              <w:snapToGrid w:val="0"/>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北核</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赵殿明,黄昭明,陈华,等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多弯角车身钣金件多工位级进模设计与应用</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锻压技术</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107" w:leftChars="-51" w:right="-143" w:rightChars="-68"/>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CSCD</w:t>
            </w:r>
          </w:p>
          <w:p>
            <w:pPr>
              <w:snapToGrid w:val="0"/>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北核</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赵妞,袁刘凯,赵特,等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基于六分力载荷的商用车焊点寿命仿真</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机械设计</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107" w:leftChars="-51" w:right="-143" w:rightChars="-68"/>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CSCD</w:t>
            </w:r>
          </w:p>
          <w:p>
            <w:pPr>
              <w:snapToGrid w:val="0"/>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北核</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33</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王利,黄昭明,胡李勇,等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复杂边界钣金件激光料带试模法及其应用</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锻压技术</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107" w:leftChars="-51" w:right="-143" w:rightChars="-68"/>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CSCD</w:t>
            </w:r>
          </w:p>
          <w:p>
            <w:pPr>
              <w:snapToGrid w:val="0"/>
              <w:ind w:left="-107" w:leftChars="-51" w:right="-143" w:rightChars="-68"/>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北核</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34</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韩笑笑,苏瑞,赵恒文,等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基于Pumplinx的螺杆泵性能优化仿真研究</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流体机械</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107" w:leftChars="-51" w:right="-143" w:rightChars="-68"/>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CSCD</w:t>
            </w:r>
          </w:p>
          <w:p>
            <w:pPr>
              <w:snapToGrid w:val="0"/>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北核</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35</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白月香,黄昭明,王利,等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基于GA-BPNN的圆筒形件多步冲压成形工艺参数优化</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精密成形工程</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107" w:leftChars="-51" w:right="-143" w:rightChars="-68"/>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CSCD</w:t>
            </w:r>
          </w:p>
          <w:p>
            <w:pPr>
              <w:snapToGrid w:val="0"/>
              <w:jc w:val="center"/>
              <w:rPr>
                <w:rFonts w:ascii="Times New Roman" w:hAnsi="Times New Roman" w:cs="Times New Roman"/>
                <w:bCs/>
                <w:color w:val="000000" w:themeColor="text1"/>
                <w:sz w:val="18"/>
                <w:szCs w:val="18"/>
                <w14:textFill>
                  <w14:solidFill>
                    <w14:schemeClr w14:val="tx1"/>
                  </w14:solidFill>
                </w14:textFill>
              </w:rPr>
            </w:pPr>
            <w:r>
              <w:rPr>
                <w:rFonts w:ascii="Times New Roman" w:hAnsi="Times New Roman" w:cs="Times New Roman"/>
                <w:bCs/>
                <w:color w:val="000000" w:themeColor="text1"/>
                <w:sz w:val="18"/>
                <w:szCs w:val="18"/>
                <w14:textFill>
                  <w14:solidFill>
                    <w14:schemeClr w14:val="tx1"/>
                  </w14:solidFill>
                </w14:textFill>
              </w:rPr>
              <w:t>北核</w:t>
            </w: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36</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王利,黄昭明,胡李勇,等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半盒形特征件全工序多步冲压成形工艺优化</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沈阳理工大学学报</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37</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沈现青,黄昭明,陈森林,等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一种车身钣金件级进模冲裁工位快速设计方法</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长春工程学院学报(自然科学版)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38</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叶彩霞,黄昭明,徐天喜,等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基于UG的复杂盒形特征件传递模研制</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九江学院学报(自然科学版)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39</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叶彩霞,王利,陈华,等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一种高精密车身钣金件多工位级进模卸料装置</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九江学院学报(自然科学版)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40</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舒满征,王利,黄昭明,等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基于AutoForm的轿车侧围拉延工艺补充设计与优化</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九江学院学报(自然科学版)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陶磊</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新型合金铸铁对汽车冲压模具质量的影响</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长春工程学院学报(自然科学版)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王利,黄昭明,赵恒文,等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多弯曲多形孔复杂边界钣金件级进模的开发</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延边大学学报(自然科学版)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43</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赵夫超,刘畅,黄昭明,等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基于模面工程的轿车侧围拉延成形数值模拟</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南京工程学院学报(自然科学版)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44</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罗林,王利,沈晨,等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.全载体车身结构件级进冲压成形排样设计</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西昌学院学报(自然科学版)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45</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余成龙,王利,王仕雄,等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某型拉维纳式齿轮变速器轮齿结构设计</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西昌学院学报(自然科学版)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46</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梁晓玲,姜萍,徐靖,等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双泵体对旋大功率多级离心泵轴向力计算与分析</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长春工业大学学报</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47</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李陶胜,王利,王益平,等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车身内板件拉延成形仿真与工艺参数优化</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沈阳理工大学学报</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胡李勇,王利,等.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基于薄板冲压成形的零件展开方法及其应用</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河南工程学院学报(自然科学版)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49</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陆青松,王利,栾阔,等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车身内板件多步冲压成形联动仿真方法及其应用</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长春工程学院学报(自然科学版)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50</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胡李勇,王利,王雷,等</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基于正交试验的深筒形制件拉延成形工艺参数优化</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西昌学院学报(自然科学版)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51</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胡慧,丁春梅,任龙军</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轿车柱类制件多步加工冲模设计与应用</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西昌学院学报(自然科学版)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52</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栾阔</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基于有限元法的点线啮合齿轮动力学模态分析研究</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齐齐哈尔大学学报(自然科学版)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Times New Roman" w:hAnsi="Times New Roman" w:cs="Times New Roman"/>
                <w:color w:val="000000" w:themeColor="text1"/>
                <w:szCs w:val="21"/>
                <w14:textFill>
                  <w14:solidFill>
                    <w14:schemeClr w14:val="tx1"/>
                  </w14:solidFill>
                </w14:textFill>
              </w:rPr>
            </w:pPr>
          </w:p>
        </w:tc>
      </w:tr>
    </w:tbl>
    <w:p>
      <w:pPr>
        <w:spacing w:line="360" w:lineRule="auto"/>
        <w:ind w:firstLine="470" w:firstLineChars="196"/>
        <w:jc w:val="center"/>
        <w:outlineLvl w:val="1"/>
        <w:rPr>
          <w:rFonts w:ascii="Times New Roman" w:hAnsi="Times New Roman" w:cs="Times New Roman"/>
          <w:color w:val="000000" w:themeColor="text1"/>
          <w:sz w:val="24"/>
          <w14:textFill>
            <w14:solidFill>
              <w14:schemeClr w14:val="tx1"/>
            </w14:solidFill>
          </w14:textFill>
        </w:rPr>
      </w:pPr>
      <w:bookmarkStart w:id="6" w:name="_Toc104451274"/>
    </w:p>
    <w:p>
      <w:pPr>
        <w:spacing w:line="360" w:lineRule="auto"/>
        <w:ind w:firstLine="470" w:firstLineChars="196"/>
        <w:jc w:val="center"/>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表6</w:t>
      </w:r>
      <w:bookmarkEnd w:id="6"/>
      <w:bookmarkStart w:id="7" w:name="_Toc25223"/>
      <w:r>
        <w:rPr>
          <w:rFonts w:ascii="Times New Roman" w:hAnsi="Times New Roman" w:cs="Times New Roman"/>
          <w:color w:val="000000" w:themeColor="text1"/>
          <w:sz w:val="24"/>
          <w14:textFill>
            <w14:solidFill>
              <w14:schemeClr w14:val="tx1"/>
            </w14:solidFill>
          </w14:textFill>
        </w:rPr>
        <w:t xml:space="preserve"> 近三年本专业教师专利申报一览表</w:t>
      </w:r>
    </w:p>
    <w:tbl>
      <w:tblPr>
        <w:tblStyle w:val="4"/>
        <w:tblW w:w="9585" w:type="dxa"/>
        <w:jc w:val="center"/>
        <w:tblLayout w:type="fixed"/>
        <w:tblCellMar>
          <w:top w:w="0" w:type="dxa"/>
          <w:left w:w="0" w:type="dxa"/>
          <w:bottom w:w="0" w:type="dxa"/>
          <w:right w:w="0" w:type="dxa"/>
        </w:tblCellMar>
      </w:tblPr>
      <w:tblGrid>
        <w:gridCol w:w="446"/>
        <w:gridCol w:w="2451"/>
        <w:gridCol w:w="1750"/>
        <w:gridCol w:w="567"/>
        <w:gridCol w:w="610"/>
        <w:gridCol w:w="1860"/>
        <w:gridCol w:w="1901"/>
      </w:tblGrid>
      <w:tr>
        <w:tblPrEx>
          <w:tblCellMar>
            <w:top w:w="0" w:type="dxa"/>
            <w:left w:w="0" w:type="dxa"/>
            <w:bottom w:w="0" w:type="dxa"/>
            <w:right w:w="0" w:type="dxa"/>
          </w:tblCellMar>
        </w:tblPrEx>
        <w:trPr>
          <w:trHeight w:val="454" w:hRule="exact"/>
          <w:tblHeader/>
          <w:jc w:val="center"/>
        </w:trPr>
        <w:tc>
          <w:tcPr>
            <w:tcW w:w="446" w:type="dxa"/>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bottom"/>
          </w:tcPr>
          <w:p>
            <w:pPr>
              <w:widowControl/>
              <w:spacing w:after="109" w:afterLines="35"/>
              <w:jc w:val="center"/>
              <w:textAlignment w:val="bottom"/>
              <w:rPr>
                <w:rFonts w:ascii="Times New Roman" w:hAnsi="Times New Roman" w:cs="Times New Roman"/>
                <w:bCs/>
                <w:color w:val="000000" w:themeColor="text1"/>
                <w:kern w:val="0"/>
                <w:szCs w:val="21"/>
                <w:lang w:bidi="ar"/>
                <w14:textFill>
                  <w14:solidFill>
                    <w14:schemeClr w14:val="tx1"/>
                  </w14:solidFill>
                </w14:textFill>
              </w:rPr>
            </w:pPr>
            <w:r>
              <w:rPr>
                <w:rFonts w:ascii="Times New Roman" w:hAnsi="Times New Roman" w:cs="Times New Roman"/>
                <w:bCs/>
                <w:color w:val="000000" w:themeColor="text1"/>
                <w:kern w:val="0"/>
                <w:szCs w:val="21"/>
                <w:lang w:bidi="ar"/>
                <w14:textFill>
                  <w14:solidFill>
                    <w14:schemeClr w14:val="tx1"/>
                  </w14:solidFill>
                </w14:textFill>
              </w:rPr>
              <w:t>序号</w:t>
            </w:r>
          </w:p>
        </w:tc>
        <w:tc>
          <w:tcPr>
            <w:tcW w:w="2451" w:type="dxa"/>
            <w:tcBorders>
              <w:top w:val="single" w:color="000000" w:sz="4" w:space="0"/>
              <w:left w:val="nil"/>
              <w:bottom w:val="single" w:color="auto" w:sz="4" w:space="0"/>
              <w:right w:val="single" w:color="000000" w:sz="4" w:space="0"/>
            </w:tcBorders>
            <w:tcMar>
              <w:top w:w="12" w:type="dxa"/>
              <w:left w:w="12" w:type="dxa"/>
              <w:right w:w="12" w:type="dxa"/>
            </w:tcMar>
            <w:vAlign w:val="bottom"/>
          </w:tcPr>
          <w:p>
            <w:pPr>
              <w:widowControl/>
              <w:spacing w:after="109" w:afterLines="35"/>
              <w:jc w:val="center"/>
              <w:textAlignment w:val="bottom"/>
              <w:rPr>
                <w:rFonts w:ascii="Times New Roman" w:hAnsi="Times New Roman" w:cs="Times New Roman"/>
                <w:bCs/>
                <w:color w:val="000000" w:themeColor="text1"/>
                <w:kern w:val="0"/>
                <w:szCs w:val="21"/>
                <w:lang w:bidi="ar"/>
                <w14:textFill>
                  <w14:solidFill>
                    <w14:schemeClr w14:val="tx1"/>
                  </w14:solidFill>
                </w14:textFill>
              </w:rPr>
            </w:pPr>
            <w:r>
              <w:rPr>
                <w:rFonts w:ascii="Times New Roman" w:hAnsi="Times New Roman" w:cs="Times New Roman"/>
                <w:bCs/>
                <w:color w:val="000000" w:themeColor="text1"/>
                <w:kern w:val="0"/>
                <w:szCs w:val="21"/>
                <w:lang w:bidi="ar"/>
                <w14:textFill>
                  <w14:solidFill>
                    <w14:schemeClr w14:val="tx1"/>
                  </w14:solidFill>
                </w14:textFill>
              </w:rPr>
              <w:t>专利名称</w:t>
            </w:r>
          </w:p>
        </w:tc>
        <w:tc>
          <w:tcPr>
            <w:tcW w:w="1750" w:type="dxa"/>
            <w:tcBorders>
              <w:top w:val="single" w:color="000000" w:sz="4" w:space="0"/>
              <w:left w:val="nil"/>
              <w:bottom w:val="single" w:color="auto" w:sz="4" w:space="0"/>
              <w:right w:val="single" w:color="000000" w:sz="4" w:space="0"/>
            </w:tcBorders>
            <w:tcMar>
              <w:top w:w="12" w:type="dxa"/>
              <w:left w:w="12" w:type="dxa"/>
              <w:right w:w="12" w:type="dxa"/>
            </w:tcMar>
            <w:vAlign w:val="bottom"/>
          </w:tcPr>
          <w:p>
            <w:pPr>
              <w:widowControl/>
              <w:spacing w:after="109" w:afterLines="35"/>
              <w:jc w:val="center"/>
              <w:textAlignment w:val="bottom"/>
              <w:rPr>
                <w:rFonts w:ascii="Times New Roman" w:hAnsi="Times New Roman" w:cs="Times New Roman"/>
                <w:bCs/>
                <w:color w:val="000000" w:themeColor="text1"/>
                <w:kern w:val="0"/>
                <w:szCs w:val="21"/>
                <w:lang w:bidi="ar"/>
                <w14:textFill>
                  <w14:solidFill>
                    <w14:schemeClr w14:val="tx1"/>
                  </w14:solidFill>
                </w14:textFill>
              </w:rPr>
            </w:pPr>
            <w:r>
              <w:rPr>
                <w:rFonts w:ascii="Times New Roman" w:hAnsi="Times New Roman" w:cs="Times New Roman"/>
                <w:bCs/>
                <w:color w:val="000000" w:themeColor="text1"/>
                <w:kern w:val="0"/>
                <w:szCs w:val="21"/>
                <w:lang w:bidi="ar"/>
                <w14:textFill>
                  <w14:solidFill>
                    <w14:schemeClr w14:val="tx1"/>
                  </w14:solidFill>
                </w14:textFill>
              </w:rPr>
              <w:t>发明人</w:t>
            </w:r>
          </w:p>
        </w:tc>
        <w:tc>
          <w:tcPr>
            <w:tcW w:w="567" w:type="dxa"/>
            <w:tcBorders>
              <w:top w:val="single" w:color="000000" w:sz="4" w:space="0"/>
              <w:left w:val="nil"/>
              <w:bottom w:val="single" w:color="auto" w:sz="4" w:space="0"/>
              <w:right w:val="single" w:color="000000" w:sz="4" w:space="0"/>
            </w:tcBorders>
            <w:noWrap/>
            <w:tcMar>
              <w:top w:w="12" w:type="dxa"/>
              <w:left w:w="12" w:type="dxa"/>
              <w:right w:w="12" w:type="dxa"/>
            </w:tcMar>
            <w:vAlign w:val="bottom"/>
          </w:tcPr>
          <w:p>
            <w:pPr>
              <w:widowControl/>
              <w:spacing w:after="109" w:afterLines="35"/>
              <w:jc w:val="center"/>
              <w:textAlignment w:val="bottom"/>
              <w:rPr>
                <w:rFonts w:ascii="Times New Roman" w:hAnsi="Times New Roman" w:cs="Times New Roman"/>
                <w:bCs/>
                <w:color w:val="000000" w:themeColor="text1"/>
                <w:kern w:val="0"/>
                <w:szCs w:val="21"/>
                <w:lang w:bidi="ar"/>
                <w14:textFill>
                  <w14:solidFill>
                    <w14:schemeClr w14:val="tx1"/>
                  </w14:solidFill>
                </w14:textFill>
              </w:rPr>
            </w:pPr>
            <w:r>
              <w:rPr>
                <w:rFonts w:ascii="Times New Roman" w:hAnsi="Times New Roman" w:cs="Times New Roman"/>
                <w:bCs/>
                <w:color w:val="000000" w:themeColor="text1"/>
                <w:kern w:val="0"/>
                <w:szCs w:val="21"/>
                <w:lang w:bidi="ar"/>
                <w14:textFill>
                  <w14:solidFill>
                    <w14:schemeClr w14:val="tx1"/>
                  </w14:solidFill>
                </w14:textFill>
              </w:rPr>
              <w:t>类型</w:t>
            </w:r>
          </w:p>
        </w:tc>
        <w:tc>
          <w:tcPr>
            <w:tcW w:w="610" w:type="dxa"/>
            <w:tcBorders>
              <w:top w:val="single" w:color="000000" w:sz="4" w:space="0"/>
              <w:left w:val="nil"/>
              <w:bottom w:val="single" w:color="auto" w:sz="4" w:space="0"/>
              <w:right w:val="single" w:color="000000" w:sz="4" w:space="0"/>
            </w:tcBorders>
            <w:noWrap/>
            <w:tcMar>
              <w:top w:w="12" w:type="dxa"/>
              <w:left w:w="12" w:type="dxa"/>
              <w:right w:w="12" w:type="dxa"/>
            </w:tcMar>
            <w:vAlign w:val="bottom"/>
          </w:tcPr>
          <w:p>
            <w:pPr>
              <w:widowControl/>
              <w:spacing w:after="109" w:afterLines="35"/>
              <w:jc w:val="center"/>
              <w:textAlignment w:val="bottom"/>
              <w:rPr>
                <w:rFonts w:ascii="Times New Roman" w:hAnsi="Times New Roman" w:cs="Times New Roman"/>
                <w:bCs/>
                <w:color w:val="000000" w:themeColor="text1"/>
                <w:kern w:val="0"/>
                <w:szCs w:val="21"/>
                <w:lang w:bidi="ar"/>
                <w14:textFill>
                  <w14:solidFill>
                    <w14:schemeClr w14:val="tx1"/>
                  </w14:solidFill>
                </w14:textFill>
              </w:rPr>
            </w:pPr>
            <w:r>
              <w:rPr>
                <w:rFonts w:ascii="Times New Roman" w:hAnsi="Times New Roman" w:cs="Times New Roman"/>
                <w:bCs/>
                <w:color w:val="000000" w:themeColor="text1"/>
                <w:kern w:val="0"/>
                <w:szCs w:val="21"/>
                <w:lang w:bidi="ar"/>
                <w14:textFill>
                  <w14:solidFill>
                    <w14:schemeClr w14:val="tx1"/>
                  </w14:solidFill>
                </w14:textFill>
              </w:rPr>
              <w:t>阶段</w:t>
            </w:r>
          </w:p>
        </w:tc>
        <w:tc>
          <w:tcPr>
            <w:tcW w:w="1860" w:type="dxa"/>
            <w:tcBorders>
              <w:top w:val="single" w:color="000000" w:sz="4" w:space="0"/>
              <w:left w:val="nil"/>
              <w:bottom w:val="single" w:color="auto" w:sz="4" w:space="0"/>
              <w:right w:val="single" w:color="000000" w:sz="4" w:space="0"/>
            </w:tcBorders>
            <w:noWrap/>
            <w:tcMar>
              <w:top w:w="12" w:type="dxa"/>
              <w:left w:w="12" w:type="dxa"/>
              <w:right w:w="12" w:type="dxa"/>
            </w:tcMar>
            <w:vAlign w:val="bottom"/>
          </w:tcPr>
          <w:p>
            <w:pPr>
              <w:widowControl/>
              <w:spacing w:after="109" w:afterLines="35"/>
              <w:jc w:val="center"/>
              <w:textAlignment w:val="bottom"/>
              <w:rPr>
                <w:rFonts w:ascii="Times New Roman" w:hAnsi="Times New Roman" w:cs="Times New Roman"/>
                <w:bCs/>
                <w:color w:val="000000" w:themeColor="text1"/>
                <w:kern w:val="0"/>
                <w:szCs w:val="21"/>
                <w:lang w:bidi="ar"/>
                <w14:textFill>
                  <w14:solidFill>
                    <w14:schemeClr w14:val="tx1"/>
                  </w14:solidFill>
                </w14:textFill>
              </w:rPr>
            </w:pPr>
            <w:r>
              <w:rPr>
                <w:rFonts w:ascii="Times New Roman" w:hAnsi="Times New Roman" w:cs="Times New Roman"/>
                <w:bCs/>
                <w:color w:val="000000" w:themeColor="text1"/>
                <w:kern w:val="0"/>
                <w:szCs w:val="21"/>
                <w:lang w:bidi="ar"/>
                <w14:textFill>
                  <w14:solidFill>
                    <w14:schemeClr w14:val="tx1"/>
                  </w14:solidFill>
                </w14:textFill>
              </w:rPr>
              <w:t>发明权人</w:t>
            </w:r>
          </w:p>
        </w:tc>
        <w:tc>
          <w:tcPr>
            <w:tcW w:w="1901" w:type="dxa"/>
            <w:tcBorders>
              <w:top w:val="single" w:color="000000" w:sz="4" w:space="0"/>
              <w:left w:val="nil"/>
              <w:bottom w:val="single" w:color="auto" w:sz="4" w:space="0"/>
              <w:right w:val="single" w:color="000000" w:sz="4" w:space="0"/>
            </w:tcBorders>
            <w:noWrap/>
            <w:tcMar>
              <w:top w:w="12" w:type="dxa"/>
              <w:left w:w="12" w:type="dxa"/>
              <w:right w:w="12" w:type="dxa"/>
            </w:tcMar>
            <w:vAlign w:val="bottom"/>
          </w:tcPr>
          <w:p>
            <w:pPr>
              <w:widowControl/>
              <w:spacing w:after="109" w:afterLines="35"/>
              <w:jc w:val="center"/>
              <w:textAlignment w:val="bottom"/>
              <w:rPr>
                <w:rFonts w:ascii="Times New Roman" w:hAnsi="Times New Roman" w:cs="Times New Roman"/>
                <w:bCs/>
                <w:color w:val="000000" w:themeColor="text1"/>
                <w:kern w:val="0"/>
                <w:szCs w:val="21"/>
                <w:lang w:bidi="ar"/>
                <w14:textFill>
                  <w14:solidFill>
                    <w14:schemeClr w14:val="tx1"/>
                  </w14:solidFill>
                </w14:textFill>
              </w:rPr>
            </w:pPr>
            <w:r>
              <w:rPr>
                <w:rFonts w:ascii="Times New Roman" w:hAnsi="Times New Roman" w:cs="Times New Roman"/>
                <w:bCs/>
                <w:color w:val="000000" w:themeColor="text1"/>
                <w:kern w:val="0"/>
                <w:szCs w:val="21"/>
                <w:lang w:bidi="ar"/>
                <w14:textFill>
                  <w14:solidFill>
                    <w14:schemeClr w14:val="tx1"/>
                  </w14:solidFill>
                </w14:textFill>
              </w:rPr>
              <w:t>授权号/申请号</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一种多向弯曲成形的轿车钣金件级进模</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黄昭明,陈中友,陈学健</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ZL201520772102.5</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发动机油底壳多工位传递模</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黄昭明,王利,陈学健,赵妞,张冬冬</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ZL201610096455.7</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轿车座椅扭力管冷挤压模具</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黄昭明,赵妞,胡李勇,袁庆,王利</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ZL201610102119.9</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一种轿车车身多工位级进模精密模架</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赵妞,黄昭明,黄继刚,王利,李琳</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ZL201720323375.0</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轿车精密钣金件多工位级进模卸料机构</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黄继刚,黄昭明,王利,李琳,赵妞</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ZL201720208126.7</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多边线与多形孔车身钣金件级进模</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黄昭明,王利,张冬冬,胡李勇,陈学建</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ZL201721319415.0</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适于易回弹S形截面钣金件的多工位级进模</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黄昭明,王利,张冬冬,胡李勇</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ZL201721113933.7</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8</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一种轿车座椅扭力管二工序冷挤压模具</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黄昭明,赵妞,陈华,陶磊,王利</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ZL201820385578.7</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9</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车身钣金件级进模快速设计方</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黄昭明，王利，张冬冬，等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ZL201710952613.9</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10</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轿车车身钣金件落料模</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赵妞，黄昭明，陈志伟，等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ZL201821495520.4</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罐头开瓶器</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田瑞娇，梁晓玲，姜萍，等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ZL201920584261.0</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12</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一种便携式互补型应急电源装置</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梁晓玲，姜萍，刘燕，等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ZL201821585905.X</w:t>
            </w:r>
          </w:p>
        </w:tc>
      </w:tr>
      <w:tr>
        <w:tblPrEx>
          <w:tblCellMar>
            <w:top w:w="0" w:type="dxa"/>
            <w:left w:w="0" w:type="dxa"/>
            <w:bottom w:w="0" w:type="dxa"/>
            <w:right w:w="0" w:type="dxa"/>
          </w:tblCellMar>
        </w:tblPrEx>
        <w:trPr>
          <w:trHeight w:val="827"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易回弹S 形截面钣金件的制作方法及多工级进模</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黄昭明，王利，张冬冬，等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CN107470457A</w:t>
            </w:r>
          </w:p>
        </w:tc>
      </w:tr>
      <w:tr>
        <w:tblPrEx>
          <w:tblCellMar>
            <w:top w:w="0" w:type="dxa"/>
            <w:left w:w="0" w:type="dxa"/>
            <w:bottom w:w="0" w:type="dxa"/>
            <w:right w:w="0" w:type="dxa"/>
          </w:tblCellMar>
        </w:tblPrEx>
        <w:trPr>
          <w:trHeight w:val="853"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14</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轿车座椅扭力管挤凸一模多出冷挤压模具</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赵妞，黄昭明，陈华，等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公开</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CN108435913A</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15</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轿车车身横梁的制作方法</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黄昭明，沈现青，陈华，等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公开</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CN109226471A</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轿车车身横梁加工设备</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黄昭明，王利，王仕雄，等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公开</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CN109158484A</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17</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轿车车身横梁加工设备</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赵妞，黄昭明，陈志伟，等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实用</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河海大学文天学院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ZL201821495520.4</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18</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中央空调导流加湿装置</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朱正阳，马千里，陶彬彬，等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皖江工学院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ZL202010915887.2</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19</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一种可解决烧结矿换热不均匀的处理装置</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徐靖，包向军，陈光，等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授权</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皖江工学院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ZL201811381895.2</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用于车辆的前雨刮器装置</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朱正阳，李海娟，黄昭明，等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实审</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皖江工学院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ZL202010915887.2</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21</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轿车座椅扭力管挤凸一模多出冷挤压模具</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赵妞，黄昭明，陈华，等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公开</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皖江工学院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CN108435913A</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22</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SUV车型后背门的安装调试方法</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孙杨，朱正阳，黄柳丽，等</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公开</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皖江工学院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CN113638664A</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23</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集成了柔性屏的立式钢琴智能琴盖</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朱正阳，陈志峰，丁若男.</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公开</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皖江工学院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202113705091</w:t>
            </w:r>
          </w:p>
        </w:tc>
      </w:tr>
      <w:tr>
        <w:tblPrEx>
          <w:tblCellMar>
            <w:top w:w="0" w:type="dxa"/>
            <w:left w:w="0" w:type="dxa"/>
            <w:bottom w:w="0" w:type="dxa"/>
            <w:right w:w="0" w:type="dxa"/>
          </w:tblCellMar>
        </w:tblPrEx>
        <w:trPr>
          <w:trHeight w:val="686" w:hRule="exact"/>
          <w:jc w:val="center"/>
        </w:trPr>
        <w:tc>
          <w:tcPr>
            <w:tcW w:w="446"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24</w:t>
            </w:r>
          </w:p>
        </w:tc>
        <w:tc>
          <w:tcPr>
            <w:tcW w:w="245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一种2/3型线的双头单螺杆泵</w:t>
            </w:r>
          </w:p>
        </w:tc>
        <w:tc>
          <w:tcPr>
            <w:tcW w:w="175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汪怡然</w:t>
            </w:r>
          </w:p>
        </w:tc>
        <w:tc>
          <w:tcPr>
            <w:tcW w:w="567"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发明</w:t>
            </w:r>
          </w:p>
        </w:tc>
        <w:tc>
          <w:tcPr>
            <w:tcW w:w="61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公开</w:t>
            </w:r>
          </w:p>
        </w:tc>
        <w:tc>
          <w:tcPr>
            <w:tcW w:w="1860"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autoSpaceDE w:val="0"/>
              <w:autoSpaceDN w:val="0"/>
              <w:adjustRightIn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皖江工学院</w:t>
            </w:r>
          </w:p>
        </w:tc>
        <w:tc>
          <w:tcPr>
            <w:tcW w:w="1901"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CN111894850A</w:t>
            </w:r>
          </w:p>
        </w:tc>
      </w:tr>
      <w:bookmarkEnd w:id="7"/>
    </w:tbl>
    <w:p>
      <w:pPr>
        <w:spacing w:line="360" w:lineRule="auto"/>
        <w:jc w:val="center"/>
        <w:outlineLvl w:val="1"/>
        <w:rPr>
          <w:rFonts w:ascii="Times New Roman" w:hAnsi="Times New Roman" w:cs="Times New Roman"/>
          <w:color w:val="000000" w:themeColor="text1"/>
          <w:sz w:val="24"/>
          <w14:textFill>
            <w14:solidFill>
              <w14:schemeClr w14:val="tx1"/>
            </w14:solidFill>
          </w14:textFill>
        </w:rPr>
      </w:pPr>
    </w:p>
    <w:p>
      <w:pPr>
        <w:spacing w:line="360" w:lineRule="auto"/>
        <w:jc w:val="center"/>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表7 近三年本专业教师科研项目申请一览表</w:t>
      </w:r>
    </w:p>
    <w:tbl>
      <w:tblPr>
        <w:tblStyle w:val="4"/>
        <w:tblW w:w="0" w:type="auto"/>
        <w:jc w:val="center"/>
        <w:tblLayout w:type="fixed"/>
        <w:tblCellMar>
          <w:top w:w="0" w:type="dxa"/>
          <w:left w:w="0" w:type="dxa"/>
          <w:bottom w:w="0" w:type="dxa"/>
          <w:right w:w="0" w:type="dxa"/>
        </w:tblCellMar>
      </w:tblPr>
      <w:tblGrid>
        <w:gridCol w:w="709"/>
        <w:gridCol w:w="3519"/>
        <w:gridCol w:w="1842"/>
        <w:gridCol w:w="813"/>
        <w:gridCol w:w="1662"/>
        <w:gridCol w:w="1039"/>
      </w:tblGrid>
      <w:tr>
        <w:tblPrEx>
          <w:tblCellMar>
            <w:top w:w="0" w:type="dxa"/>
            <w:left w:w="0" w:type="dxa"/>
            <w:bottom w:w="0" w:type="dxa"/>
            <w:right w:w="0" w:type="dxa"/>
          </w:tblCellMar>
        </w:tblPrEx>
        <w:trPr>
          <w:trHeight w:val="540"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序号</w:t>
            </w:r>
          </w:p>
        </w:tc>
        <w:tc>
          <w:tcPr>
            <w:tcW w:w="351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项目名称</w:t>
            </w:r>
          </w:p>
        </w:tc>
        <w:tc>
          <w:tcPr>
            <w:tcW w:w="184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项目类型</w:t>
            </w:r>
          </w:p>
        </w:tc>
        <w:tc>
          <w:tcPr>
            <w:tcW w:w="81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申请人</w:t>
            </w:r>
          </w:p>
        </w:tc>
        <w:tc>
          <w:tcPr>
            <w:tcW w:w="166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批准号</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项目周期</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车身覆盖件级进冲压成形工艺多目标参数优化及模具技术研究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高校学科(专业)拔尖人才项目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gxbjZD63</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2018-2020</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轿车复杂钣金件级进模技术开发研究与工程应用</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安徽省高学自然科学研究重点项目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(主参)</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KJ2018A0824</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2019-2020</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轿车大型铝合金覆盖件多步冲压成形精细化仿真与多目标参数优化技术研究及其应用</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安徽省高校自然科学研究重点项目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(主参)</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KJ2019A1140</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2020-2021</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非传统化石燃料在不同扩散火焰中碳烟生成特性的研究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安徽省高校自然科学研究重点项目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徐靖</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KJ2019A1278</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2020-2021</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模具设计教学团队</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安徽省高等学校质量工程项目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王良模</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2019jxtd135</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2020-2021</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车辆工程卓越工程师教育培养计划</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安徽省高等学校质量工程项目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王良模</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2019zyrc116</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2020-2021</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点火能量和湍流强度对汽油机均质稀薄燃烧稳定性的影响研究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安徽省高学自然科学研究重点项目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KJ2020A0837</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2021-2022</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8</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基于应力调控二维半导体异质结的载流子与自由能性能研究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安徽省高学自然科学研究重点项目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朱正阳</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KJ2020A0838</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2021-2022</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9</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氢燃料内燃机NOx生成机制及其控制对策实验研究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安徽省高学自然科学研究重点项目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赵妞</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KJ2021A1210</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2022-2023</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10</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烧结烟气生物质炭低温SCR催化剂抗碱金属中毒及优化机理</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安徽省高学自然科学研究重点项目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田瑞娇</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KJ2021A1214</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2022-2023</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教学研究项目应用型本科高校科研成果转化为教学资源的探索与实践</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安徽省高等学校质量工程项目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2021jyxm1590</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2022-2023</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12</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《汽车模具覆盖件设计》大规模在线开放课程（MOOC）示范项目</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校级质量工程项目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zl201903</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2020-2021</w:t>
            </w:r>
          </w:p>
        </w:tc>
      </w:tr>
      <w:tr>
        <w:tblPrEx>
          <w:tblCellMar>
            <w:top w:w="0" w:type="dxa"/>
            <w:left w:w="0" w:type="dxa"/>
            <w:bottom w:w="0" w:type="dxa"/>
            <w:right w:w="0" w:type="dxa"/>
          </w:tblCellMar>
        </w:tblPrEx>
        <w:trPr>
          <w:trHeight w:val="62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烟气余热回收与除尘一体化设备研究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校级科研项目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田瑞娇</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WG19022</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2020-2021</w:t>
            </w:r>
          </w:p>
        </w:tc>
      </w:tr>
      <w:tr>
        <w:tblPrEx>
          <w:tblCellMar>
            <w:top w:w="0" w:type="dxa"/>
            <w:left w:w="0" w:type="dxa"/>
            <w:bottom w:w="0" w:type="dxa"/>
            <w:right w:w="0" w:type="dxa"/>
          </w:tblCellMar>
        </w:tblPrEx>
        <w:trPr>
          <w:trHeight w:val="600"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14</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聚丙烯环管轴流泵固液两相流研究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校级科研重点项目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韩笑笑</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WG19018ZD</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2020-2021</w:t>
            </w:r>
          </w:p>
        </w:tc>
      </w:tr>
      <w:tr>
        <w:tblPrEx>
          <w:tblCellMar>
            <w:top w:w="0" w:type="dxa"/>
            <w:left w:w="0" w:type="dxa"/>
            <w:bottom w:w="0" w:type="dxa"/>
            <w:right w:w="0" w:type="dxa"/>
          </w:tblCellMar>
        </w:tblPrEx>
        <w:trPr>
          <w:trHeight w:val="506"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15</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变螺距单螺杆泵固液两相流研究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校级科研项目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汪怡然</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WG19019</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2020-2021</w:t>
            </w:r>
          </w:p>
        </w:tc>
      </w:tr>
      <w:tr>
        <w:tblPrEx>
          <w:tblCellMar>
            <w:top w:w="0" w:type="dxa"/>
            <w:left w:w="0" w:type="dxa"/>
            <w:bottom w:w="0" w:type="dxa"/>
            <w:right w:w="0" w:type="dxa"/>
          </w:tblCellMar>
        </w:tblPrEx>
        <w:trPr>
          <w:trHeight w:val="504"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基于MPC的半挂汽车路径跟随和侧向稳定性集成控制策略研究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校级科研重点项目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栾阔</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WG19021ZD</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2020-2021</w:t>
            </w:r>
          </w:p>
        </w:tc>
      </w:tr>
      <w:tr>
        <w:tblPrEx>
          <w:tblCellMar>
            <w:top w:w="0" w:type="dxa"/>
            <w:left w:w="0" w:type="dxa"/>
            <w:bottom w:w="0" w:type="dxa"/>
            <w:right w:w="0" w:type="dxa"/>
          </w:tblCellMar>
        </w:tblPrEx>
        <w:trPr>
          <w:trHeight w:val="537"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17</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基于GA-BPNN的轿车铝合金覆盖件冲压成形回弹工艺参数优化与补偿控制技术</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市科技计划面上项目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王利</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2021-2023</w:t>
            </w:r>
          </w:p>
        </w:tc>
      </w:tr>
      <w:tr>
        <w:tblPrEx>
          <w:tblCellMar>
            <w:top w:w="0" w:type="dxa"/>
            <w:left w:w="0" w:type="dxa"/>
            <w:bottom w:w="0" w:type="dxa"/>
            <w:right w:w="0" w:type="dxa"/>
          </w:tblCellMar>
        </w:tblPrEx>
        <w:trPr>
          <w:trHeight w:val="537"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18</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高强钢三点弯曲断裂特性的仿真研究</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校级科研项目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丁春梅</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WG21022</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2022-2023</w:t>
            </w:r>
          </w:p>
        </w:tc>
      </w:tr>
      <w:tr>
        <w:tblPrEx>
          <w:tblCellMar>
            <w:top w:w="0" w:type="dxa"/>
            <w:left w:w="0" w:type="dxa"/>
            <w:bottom w:w="0" w:type="dxa"/>
            <w:right w:w="0" w:type="dxa"/>
          </w:tblCellMar>
        </w:tblPrEx>
        <w:trPr>
          <w:trHeight w:val="537" w:hRule="atLeast"/>
          <w:jc w:val="center"/>
        </w:trPr>
        <w:tc>
          <w:tcPr>
            <w:tcW w:w="70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w:t>
            </w:r>
          </w:p>
        </w:tc>
        <w:tc>
          <w:tcPr>
            <w:tcW w:w="35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一种新型摆动振动筛的设计及工作特性分析</w:t>
            </w:r>
          </w:p>
        </w:tc>
        <w:tc>
          <w:tcPr>
            <w:tcW w:w="184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校级科研重点项目</w:t>
            </w:r>
          </w:p>
        </w:tc>
        <w:tc>
          <w:tcPr>
            <w:tcW w:w="81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王付远</w:t>
            </w:r>
          </w:p>
        </w:tc>
        <w:tc>
          <w:tcPr>
            <w:tcW w:w="1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WG21023ZD</w:t>
            </w:r>
          </w:p>
        </w:tc>
        <w:tc>
          <w:tcPr>
            <w:tcW w:w="10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snapToGrid w:val="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2022-2023</w:t>
            </w:r>
          </w:p>
        </w:tc>
      </w:tr>
    </w:tbl>
    <w:p>
      <w:pPr>
        <w:spacing w:line="360" w:lineRule="auto"/>
        <w:ind w:firstLine="472" w:firstLineChars="196"/>
        <w:outlineLvl w:val="1"/>
        <w:rPr>
          <w:rFonts w:ascii="Times New Roman" w:hAnsi="Times New Roman" w:cs="Times New Roman"/>
          <w:b/>
          <w:color w:val="000000" w:themeColor="text1"/>
          <w:sz w:val="24"/>
          <w14:textFill>
            <w14:solidFill>
              <w14:schemeClr w14:val="tx1"/>
            </w14:solidFill>
          </w14:textFill>
        </w:rPr>
      </w:pPr>
    </w:p>
    <w:p>
      <w:pPr>
        <w:spacing w:line="360" w:lineRule="auto"/>
        <w:ind w:firstLine="472" w:firstLineChars="196"/>
        <w:outlineLvl w:val="1"/>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2.4实验教师队伍</w:t>
      </w:r>
    </w:p>
    <w:p>
      <w:pPr>
        <w:spacing w:line="360" w:lineRule="auto"/>
        <w:ind w:firstLine="470" w:firstLineChars="196"/>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汽车服务工程有实验室教师4名，全部拥有研究生以上学历，按照人才培养方案组织开展实践课程教学，并负责实验室建设和日常维护。满足实验实践教学需求。</w:t>
      </w:r>
    </w:p>
    <w:p>
      <w:pPr>
        <w:spacing w:line="360" w:lineRule="auto"/>
        <w:outlineLvl w:val="1"/>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（三）教学资源及利用</w:t>
      </w:r>
    </w:p>
    <w:p>
      <w:pPr>
        <w:spacing w:line="360" w:lineRule="auto"/>
        <w:ind w:firstLine="482" w:firstLineChars="200"/>
        <w:outlineLvl w:val="1"/>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3.1专业实验室</w:t>
      </w:r>
    </w:p>
    <w:p>
      <w:pPr>
        <w:spacing w:line="360" w:lineRule="auto"/>
        <w:ind w:firstLine="482"/>
        <w:rPr>
          <w:rFonts w:ascii="Times New Roman" w:hAnsi="Times New Roman" w:cs="Times New Roman"/>
          <w:color w:val="000000" w:themeColor="text1"/>
          <w:sz w:val="24"/>
          <w:szCs w:val="24"/>
          <w:lang w:bidi="ar"/>
          <w14:textFill>
            <w14:solidFill>
              <w14:schemeClr w14:val="tx1"/>
            </w14:solidFill>
          </w14:textFill>
        </w:rPr>
      </w:pPr>
      <w:r>
        <w:rPr>
          <w:rFonts w:ascii="Times New Roman" w:hAnsi="Times New Roman" w:cs="Times New Roman"/>
          <w:color w:val="000000" w:themeColor="text1"/>
          <w:sz w:val="24"/>
          <w:szCs w:val="24"/>
          <w:lang w:bidi="ar"/>
          <w14:textFill>
            <w14:solidFill>
              <w14:schemeClr w14:val="tx1"/>
            </w14:solidFill>
          </w14:textFill>
        </w:rPr>
        <w:t>皖江工学院经过十年的发展，学校不断投入实验室建设经费，各实验室实验设备日趋完善，结合实验课程和应用型人才培养要求，本专业建有基础课实验室、专业基础课实验室和专业实验室，通过构建科学合理的、多层次的</w:t>
      </w:r>
      <w:r>
        <w:rPr>
          <w:rFonts w:ascii="Times New Roman" w:hAnsi="Times New Roman" w:cs="Times New Roman"/>
          <w:color w:val="000000" w:themeColor="text1"/>
          <w:sz w:val="24"/>
          <w:szCs w:val="24"/>
          <w14:textFill>
            <w14:solidFill>
              <w14:schemeClr w14:val="tx1"/>
            </w14:solidFill>
          </w14:textFill>
        </w:rPr>
        <w:t>专业</w:t>
      </w:r>
      <w:r>
        <w:rPr>
          <w:rFonts w:ascii="Times New Roman" w:hAnsi="Times New Roman" w:cs="Times New Roman"/>
          <w:color w:val="000000" w:themeColor="text1"/>
          <w:sz w:val="24"/>
          <w:szCs w:val="24"/>
          <w:lang w:bidi="ar"/>
          <w14:textFill>
            <w14:solidFill>
              <w14:schemeClr w14:val="tx1"/>
            </w14:solidFill>
          </w14:textFill>
        </w:rPr>
        <w:t>实践教学</w:t>
      </w:r>
      <w:r>
        <w:rPr>
          <w:rFonts w:ascii="Times New Roman" w:hAnsi="Times New Roman" w:cs="Times New Roman"/>
          <w:color w:val="000000" w:themeColor="text1"/>
          <w:sz w:val="24"/>
          <w14:textFill>
            <w14:solidFill>
              <w14:schemeClr w14:val="tx1"/>
            </w14:solidFill>
          </w14:textFill>
        </w:rPr>
        <w:t>体系</w:t>
      </w:r>
      <w:r>
        <w:rPr>
          <w:rFonts w:ascii="Times New Roman" w:hAnsi="Times New Roman" w:cs="Times New Roman"/>
          <w:color w:val="000000" w:themeColor="text1"/>
          <w:sz w:val="24"/>
          <w:szCs w:val="24"/>
          <w:lang w:bidi="ar"/>
          <w14:textFill>
            <w14:solidFill>
              <w14:schemeClr w14:val="tx1"/>
            </w14:solidFill>
          </w14:textFill>
        </w:rPr>
        <w:t>，不断完善实验室建设，达到增强学生实践能力和创新能力的目标，提高实验室服务教学和科研的能力。目前各实验室使用情况良好，实验课开出率为100%。</w:t>
      </w:r>
    </w:p>
    <w:p>
      <w:pPr>
        <w:spacing w:line="360" w:lineRule="auto"/>
        <w:ind w:firstLine="482"/>
        <w:rPr>
          <w:rFonts w:ascii="Times New Roman" w:hAnsi="Times New Roman" w:cs="Times New Roman"/>
          <w:color w:val="000000" w:themeColor="text1"/>
          <w:sz w:val="24"/>
          <w:szCs w:val="24"/>
          <w:lang w:bidi="ar"/>
          <w14:textFill>
            <w14:solidFill>
              <w14:schemeClr w14:val="tx1"/>
            </w14:solidFill>
          </w14:textFill>
        </w:rPr>
      </w:pPr>
      <w:r>
        <w:rPr>
          <w:rFonts w:ascii="Times New Roman" w:hAnsi="Times New Roman" w:cs="Times New Roman"/>
          <w:color w:val="000000" w:themeColor="text1"/>
          <w:sz w:val="24"/>
          <w:szCs w:val="24"/>
          <w:lang w:bidi="ar"/>
          <w14:textFill>
            <w14:solidFill>
              <w14:schemeClr w14:val="tx1"/>
            </w14:solidFill>
          </w14:textFill>
        </w:rPr>
        <w:t>为达到培养目标，学院不断加强实验室设备投入，以保证专业基础课程、专业课程实践与实验教学环节有效开展，培养学生发现、分析和解决工程实践活动问题的能力。本专业2018版培养方案设置的实验课程有：物理实验、电路实验、电子技术实验，共3门实验课程。物理实验由实验中心开设，教学中依托的实验室是物理实验室。电路实验、电子技术实验由电气信息工程学院开设，教学中依托电工电子实验室。本专业相关教学实验室状况见表8，</w:t>
      </w:r>
      <w:r>
        <w:rPr>
          <w:rFonts w:ascii="Times New Roman" w:hAnsi="Times New Roman" w:cs="Times New Roman"/>
          <w:bCs/>
          <w:color w:val="000000" w:themeColor="text1"/>
          <w:szCs w:val="21"/>
          <w14:textFill>
            <w14:solidFill>
              <w14:schemeClr w14:val="tx1"/>
            </w14:solidFill>
          </w14:textFill>
        </w:rPr>
        <w:t>本专业实验室照片如图1所示。</w:t>
      </w:r>
    </w:p>
    <w:p>
      <w:pPr>
        <w:spacing w:line="360" w:lineRule="auto"/>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表8 本专业相关教学实验室状况</w:t>
      </w:r>
    </w:p>
    <w:tbl>
      <w:tblPr>
        <w:tblStyle w:val="4"/>
        <w:tblW w:w="9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0"/>
        <w:gridCol w:w="2118"/>
        <w:gridCol w:w="1744"/>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lang w:bidi="ar"/>
                <w14:textFill>
                  <w14:solidFill>
                    <w14:schemeClr w14:val="tx1"/>
                  </w14:solidFill>
                </w14:textFill>
              </w:rPr>
              <w:t>实验室名称</w:t>
            </w:r>
          </w:p>
        </w:tc>
        <w:tc>
          <w:tcPr>
            <w:tcW w:w="21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lang w:bidi="ar"/>
                <w14:textFill>
                  <w14:solidFill>
                    <w14:schemeClr w14:val="tx1"/>
                  </w14:solidFill>
                </w14:textFill>
              </w:rPr>
              <w:t>开放方式</w:t>
            </w:r>
          </w:p>
        </w:tc>
        <w:tc>
          <w:tcPr>
            <w:tcW w:w="17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lang w:bidi="ar"/>
                <w14:textFill>
                  <w14:solidFill>
                    <w14:schemeClr w14:val="tx1"/>
                  </w14:solidFill>
                </w14:textFill>
              </w:rPr>
              <w:t>专职管理员</w:t>
            </w:r>
          </w:p>
        </w:tc>
        <w:tc>
          <w:tcPr>
            <w:tcW w:w="22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lang w:bidi="ar"/>
                <w14:textFill>
                  <w14:solidFill>
                    <w14:schemeClr w14:val="tx1"/>
                  </w14:solidFill>
                </w14:textFill>
              </w:rPr>
              <w:t>固定资产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物理实验室</w:t>
            </w:r>
          </w:p>
        </w:tc>
        <w:tc>
          <w:tcPr>
            <w:tcW w:w="21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课程开放</w:t>
            </w:r>
          </w:p>
        </w:tc>
        <w:tc>
          <w:tcPr>
            <w:tcW w:w="17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韩财宝</w:t>
            </w:r>
          </w:p>
        </w:tc>
        <w:tc>
          <w:tcPr>
            <w:tcW w:w="22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1109495元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电工电子实验室</w:t>
            </w:r>
          </w:p>
        </w:tc>
        <w:tc>
          <w:tcPr>
            <w:tcW w:w="21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课程开放</w:t>
            </w:r>
          </w:p>
        </w:tc>
        <w:tc>
          <w:tcPr>
            <w:tcW w:w="17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方正</w:t>
            </w:r>
          </w:p>
        </w:tc>
        <w:tc>
          <w:tcPr>
            <w:tcW w:w="22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397600元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汽车电控实验室</w:t>
            </w:r>
          </w:p>
        </w:tc>
        <w:tc>
          <w:tcPr>
            <w:tcW w:w="21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课程开放</w:t>
            </w:r>
          </w:p>
        </w:tc>
        <w:tc>
          <w:tcPr>
            <w:tcW w:w="17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黄昭明</w:t>
            </w:r>
          </w:p>
        </w:tc>
        <w:tc>
          <w:tcPr>
            <w:tcW w:w="22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251694元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汽车发动机与变速器拆装实训室</w:t>
            </w:r>
          </w:p>
        </w:tc>
        <w:tc>
          <w:tcPr>
            <w:tcW w:w="21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课程开放</w:t>
            </w:r>
          </w:p>
        </w:tc>
        <w:tc>
          <w:tcPr>
            <w:tcW w:w="17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赵妞</w:t>
            </w:r>
          </w:p>
        </w:tc>
        <w:tc>
          <w:tcPr>
            <w:tcW w:w="22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319006元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教学设计与机械原理实验室</w:t>
            </w:r>
          </w:p>
        </w:tc>
        <w:tc>
          <w:tcPr>
            <w:tcW w:w="21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课程开放</w:t>
            </w:r>
          </w:p>
        </w:tc>
        <w:tc>
          <w:tcPr>
            <w:tcW w:w="17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汪怡然</w:t>
            </w:r>
          </w:p>
        </w:tc>
        <w:tc>
          <w:tcPr>
            <w:tcW w:w="22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190400</w:t>
            </w:r>
            <w:r>
              <w:rPr>
                <w:rFonts w:ascii="Times New Roman" w:hAnsi="Times New Roman" w:cs="Times New Roman"/>
                <w:color w:val="000000" w:themeColor="text1"/>
                <w:szCs w:val="21"/>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金相及热处理实验室</w:t>
            </w:r>
          </w:p>
        </w:tc>
        <w:tc>
          <w:tcPr>
            <w:tcW w:w="21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课程开放</w:t>
            </w:r>
          </w:p>
        </w:tc>
        <w:tc>
          <w:tcPr>
            <w:tcW w:w="17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陈田</w:t>
            </w:r>
          </w:p>
        </w:tc>
        <w:tc>
          <w:tcPr>
            <w:tcW w:w="22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总资产合计</w:t>
            </w:r>
          </w:p>
        </w:tc>
        <w:tc>
          <w:tcPr>
            <w:tcW w:w="221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14714495</w:t>
            </w:r>
            <w:r>
              <w:rPr>
                <w:rFonts w:ascii="Times New Roman" w:hAnsi="Times New Roman" w:cs="Times New Roman"/>
                <w:color w:val="000000" w:themeColor="text1"/>
                <w:szCs w:val="21"/>
                <w:lang w:bidi="ar"/>
                <w14:textFill>
                  <w14:solidFill>
                    <w14:schemeClr w14:val="tx1"/>
                  </w14:solidFill>
                </w14:textFill>
              </w:rPr>
              <w:t>元</w:t>
            </w:r>
          </w:p>
        </w:tc>
      </w:tr>
    </w:tbl>
    <w:p>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529840" cy="1722120"/>
            <wp:effectExtent l="0" t="0" r="3810" b="1143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530475" cy="1722616"/>
                    </a:xfrm>
                    <a:prstGeom prst="rect">
                      <a:avLst/>
                    </a:prstGeom>
                    <a:noFill/>
                    <a:ln>
                      <a:noFill/>
                    </a:ln>
                  </pic:spPr>
                </pic:pic>
              </a:graphicData>
            </a:graphic>
          </wp:inline>
        </w:drawing>
      </w:r>
      <w:r>
        <w:rPr>
          <w:rFonts w:ascii="Times New Roman" w:hAnsi="Times New Roman" w:cs="Times New Roman"/>
          <w:b/>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2529840" cy="1722120"/>
            <wp:effectExtent l="0" t="0" r="3810" b="1143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530475" cy="1722616"/>
                    </a:xfrm>
                    <a:prstGeom prst="rect">
                      <a:avLst/>
                    </a:prstGeom>
                    <a:noFill/>
                    <a:ln>
                      <a:noFill/>
                    </a:ln>
                  </pic:spPr>
                </pic:pic>
              </a:graphicData>
            </a:graphic>
          </wp:inline>
        </w:drawing>
      </w:r>
    </w:p>
    <w:p>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（a）汽车电控实验室发动机试验台        （b）汽车电控实验室自动变速器与全车电器</w:t>
      </w:r>
    </w:p>
    <w:p>
      <w:pPr>
        <w:jc w:val="center"/>
        <w:rPr>
          <w:rFonts w:ascii="Times New Roman" w:hAnsi="Times New Roman" w:cs="Times New Roman"/>
          <w:color w:val="000000" w:themeColor="text1"/>
          <w:sz w:val="24"/>
          <w:szCs w:val="24"/>
          <w:lang w:bidi="ar"/>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529840" cy="1743710"/>
            <wp:effectExtent l="0" t="0" r="381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530475" cy="1743883"/>
                    </a:xfrm>
                    <a:prstGeom prst="rect">
                      <a:avLst/>
                    </a:prstGeom>
                    <a:noFill/>
                    <a:ln>
                      <a:noFill/>
                    </a:ln>
                  </pic:spPr>
                </pic:pic>
              </a:graphicData>
            </a:graphic>
          </wp:inline>
        </w:drawing>
      </w:r>
      <w:r>
        <w:rPr>
          <w:rFonts w:ascii="Times New Roman" w:hAnsi="Times New Roman" w:cs="Times New Roman"/>
          <w:b/>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2519045" cy="1743710"/>
            <wp:effectExtent l="0" t="0" r="14605"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19680" cy="1743883"/>
                    </a:xfrm>
                    <a:prstGeom prst="rect">
                      <a:avLst/>
                    </a:prstGeom>
                    <a:noFill/>
                    <a:ln>
                      <a:noFill/>
                    </a:ln>
                  </pic:spPr>
                </pic:pic>
              </a:graphicData>
            </a:graphic>
          </wp:inline>
        </w:drawing>
      </w:r>
    </w:p>
    <w:p>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（c）汽车发动机与变速器拆装实训室发动机工 （d）汽车发动机与变速器拆装实训室变速器工位</w:t>
      </w:r>
    </w:p>
    <w:p>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508885" cy="1690370"/>
            <wp:effectExtent l="0" t="0" r="5715"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09520" cy="1690715"/>
                    </a:xfrm>
                    <a:prstGeom prst="rect">
                      <a:avLst/>
                    </a:prstGeom>
                    <a:noFill/>
                    <a:ln>
                      <a:noFill/>
                    </a:ln>
                  </pic:spPr>
                </pic:pic>
              </a:graphicData>
            </a:graphic>
          </wp:inline>
        </w:drawing>
      </w:r>
      <w:r>
        <w:rPr>
          <w:rFonts w:ascii="Times New Roman" w:hAnsi="Times New Roman" w:cs="Times New Roman"/>
          <w:b/>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2540635" cy="1690370"/>
            <wp:effectExtent l="0" t="0" r="1206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541270" cy="1690716"/>
                    </a:xfrm>
                    <a:prstGeom prst="rect">
                      <a:avLst/>
                    </a:prstGeom>
                    <a:noFill/>
                    <a:ln>
                      <a:noFill/>
                    </a:ln>
                  </pic:spPr>
                </pic:pic>
              </a:graphicData>
            </a:graphic>
          </wp:inline>
        </w:drawing>
      </w:r>
    </w:p>
    <w:p>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（e）教学设计与机械原理实验室一角         （f）教学设计与机械原理实验室一角</w:t>
      </w:r>
    </w:p>
    <w:p>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519045" cy="1722120"/>
            <wp:effectExtent l="0" t="0" r="1460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19680" cy="1722616"/>
                    </a:xfrm>
                    <a:prstGeom prst="rect">
                      <a:avLst/>
                    </a:prstGeom>
                    <a:noFill/>
                    <a:ln>
                      <a:noFill/>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2508885" cy="1722120"/>
            <wp:effectExtent l="0" t="0" r="5715" b="1143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09520" cy="1722615"/>
                    </a:xfrm>
                    <a:prstGeom prst="rect">
                      <a:avLst/>
                    </a:prstGeom>
                    <a:noFill/>
                    <a:ln>
                      <a:noFill/>
                    </a:ln>
                  </pic:spPr>
                </pic:pic>
              </a:graphicData>
            </a:graphic>
          </wp:inline>
        </w:drawing>
      </w:r>
    </w:p>
    <w:p>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（g）金相及热处理实验室金相显微镜         （h）金相及热处理实验室电阻炉子</w:t>
      </w:r>
    </w:p>
    <w:p>
      <w:pPr>
        <w:spacing w:line="360" w:lineRule="auto"/>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图1 本专业实验室照片</w:t>
      </w:r>
    </w:p>
    <w:p>
      <w:pPr>
        <w:spacing w:line="360" w:lineRule="auto"/>
        <w:ind w:firstLine="480" w:firstLineChars="200"/>
        <w:rPr>
          <w:rFonts w:ascii="Times New Roman" w:hAnsi="Times New Roman" w:cs="Times New Roman"/>
          <w:color w:val="000000" w:themeColor="text1"/>
          <w:sz w:val="24"/>
          <w:szCs w:val="24"/>
          <w:lang w:bidi="ar"/>
          <w14:textFill>
            <w14:solidFill>
              <w14:schemeClr w14:val="tx1"/>
            </w14:solidFill>
          </w14:textFill>
        </w:rPr>
      </w:pPr>
      <w:r>
        <w:rPr>
          <w:rFonts w:ascii="Times New Roman" w:hAnsi="Times New Roman" w:cs="Times New Roman"/>
          <w:color w:val="000000" w:themeColor="text1"/>
          <w:sz w:val="24"/>
          <w:szCs w:val="24"/>
          <w:lang w:bidi="ar"/>
          <w14:textFill>
            <w14:solidFill>
              <w14:schemeClr w14:val="tx1"/>
            </w14:solidFill>
          </w14:textFill>
        </w:rPr>
        <w:t>生均仪器设备值达较高，实验教学设备数量满足教学需要，仪器全部能正常使用。</w:t>
      </w:r>
    </w:p>
    <w:p>
      <w:pPr>
        <w:spacing w:line="360" w:lineRule="auto"/>
        <w:ind w:firstLine="482" w:firstLineChars="200"/>
        <w:outlineLvl w:val="1"/>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3.2专业图书资料</w:t>
      </w:r>
    </w:p>
    <w:p>
      <w:pPr>
        <w:spacing w:line="360" w:lineRule="auto"/>
        <w:ind w:firstLine="480" w:firstLineChars="200"/>
        <w:outlineLvl w:val="1"/>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学校两个校区的均建有5层大楼的图书馆，建筑面积共计39010平方米，霍里山校区图书馆[</w:t>
      </w:r>
      <w:r>
        <w:rPr>
          <w:rFonts w:ascii="Times New Roman" w:hAnsi="Times New Roman" w:cs="Times New Roman"/>
          <w:color w:val="000000" w:themeColor="text1"/>
          <w:sz w:val="24"/>
          <w14:textFill>
            <w14:solidFill>
              <w14:schemeClr w14:val="tx1"/>
            </w14:solidFill>
          </w14:textFill>
        </w:rPr>
        <w:t>图2（a）</w:t>
      </w:r>
      <w:r>
        <w:rPr>
          <w:rFonts w:ascii="Times New Roman" w:hAnsi="Times New Roman" w:cs="Times New Roman"/>
          <w:color w:val="000000" w:themeColor="text1"/>
          <w:sz w:val="24"/>
          <w:szCs w:val="24"/>
          <w14:textFill>
            <w14:solidFill>
              <w14:schemeClr w14:val="tx1"/>
            </w14:solidFill>
          </w14:textFill>
        </w:rPr>
        <w:t>]、郑蒲港校区图书馆[</w:t>
      </w:r>
      <w:r>
        <w:rPr>
          <w:rFonts w:ascii="Times New Roman" w:hAnsi="Times New Roman" w:cs="Times New Roman"/>
          <w:color w:val="000000" w:themeColor="text1"/>
          <w:sz w:val="24"/>
          <w14:textFill>
            <w14:solidFill>
              <w14:schemeClr w14:val="tx1"/>
            </w14:solidFill>
          </w14:textFill>
        </w:rPr>
        <w:t>图2（b）</w:t>
      </w:r>
      <w:r>
        <w:rPr>
          <w:rFonts w:ascii="Times New Roman" w:hAnsi="Times New Roman" w:cs="Times New Roman"/>
          <w:color w:val="000000" w:themeColor="text1"/>
          <w:sz w:val="24"/>
          <w:szCs w:val="24"/>
          <w14:textFill>
            <w14:solidFill>
              <w14:schemeClr w14:val="tx1"/>
            </w14:solidFill>
          </w14:textFill>
        </w:rPr>
        <w:t>]分别为15184平方米、23826平方米。汽车服务工程专业学生可利用的图书资源非常丰富，相关专业图书（包含数字资源）达10万余册[</w:t>
      </w:r>
      <w:r>
        <w:rPr>
          <w:rFonts w:ascii="Times New Roman" w:hAnsi="Times New Roman" w:cs="Times New Roman"/>
          <w:color w:val="000000" w:themeColor="text1"/>
          <w:sz w:val="24"/>
          <w14:textFill>
            <w14:solidFill>
              <w14:schemeClr w14:val="tx1"/>
            </w14:solidFill>
          </w14:textFill>
        </w:rPr>
        <w:t>图2（c）</w:t>
      </w:r>
      <w:r>
        <w:rPr>
          <w:rFonts w:ascii="Times New Roman" w:hAnsi="Times New Roman" w:cs="Times New Roman"/>
          <w:color w:val="000000" w:themeColor="text1"/>
          <w:sz w:val="24"/>
          <w:szCs w:val="24"/>
          <w14:textFill>
            <w14:solidFill>
              <w14:schemeClr w14:val="tx1"/>
            </w14:solidFill>
          </w14:textFill>
        </w:rPr>
        <w:t>]，其中电子图书5120GB[</w:t>
      </w:r>
      <w:r>
        <w:rPr>
          <w:rFonts w:ascii="Times New Roman" w:hAnsi="Times New Roman" w:cs="Times New Roman"/>
          <w:color w:val="000000" w:themeColor="text1"/>
          <w:sz w:val="24"/>
          <w14:textFill>
            <w14:solidFill>
              <w14:schemeClr w14:val="tx1"/>
            </w14:solidFill>
          </w14:textFill>
        </w:rPr>
        <w:t>图2（d）</w:t>
      </w:r>
      <w:r>
        <w:rPr>
          <w:rFonts w:ascii="Times New Roman" w:hAnsi="Times New Roman" w:cs="Times New Roman"/>
          <w:color w:val="000000" w:themeColor="text1"/>
          <w:sz w:val="24"/>
          <w:szCs w:val="24"/>
          <w14:textFill>
            <w14:solidFill>
              <w14:schemeClr w14:val="tx1"/>
            </w14:solidFill>
          </w14:textFill>
        </w:rPr>
        <w:t>]，生均244册，近两年新增藏书2800余册。相关国内重要期刊齐全，数量达23种，其中3种专业国外的重要刊物。</w:t>
      </w:r>
      <w:r>
        <w:rPr>
          <w:rFonts w:ascii="Times New Roman" w:hAnsi="Times New Roman" w:cs="Times New Roman"/>
          <w:color w:val="000000" w:themeColor="text1"/>
          <w:sz w:val="24"/>
          <w14:textFill>
            <w14:solidFill>
              <w14:schemeClr w14:val="tx1"/>
            </w14:solidFill>
          </w14:textFill>
        </w:rPr>
        <w:t>在数字资源方面，图书馆也加强建设，先后购买了多种数字资源供师生使用，包括中国知网（CNKI数据库）、中国万方（万方数据库）、超星数字图书馆、书生之家电子图书、安徽省高校数字图书馆、中文社会科学索引CSSCI、国家哲学社会科学学术期刊（NSSD数据库）以及EBSCO系列数据库等。</w:t>
      </w:r>
    </w:p>
    <w:p>
      <w:pPr>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743200" cy="1722755"/>
            <wp:effectExtent l="0" t="0" r="0" b="1079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743200" cy="1722755"/>
                    </a:xfrm>
                    <a:prstGeom prst="rect">
                      <a:avLst/>
                    </a:prstGeom>
                    <a:noFill/>
                    <a:ln>
                      <a:noFill/>
                    </a:ln>
                  </pic:spPr>
                </pic:pic>
              </a:graphicData>
            </a:graphic>
          </wp:inline>
        </w:drawing>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2722245" cy="1722755"/>
            <wp:effectExtent l="0" t="0" r="1905" b="1079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722245" cy="1722755"/>
                    </a:xfrm>
                    <a:prstGeom prst="rect">
                      <a:avLst/>
                    </a:prstGeom>
                    <a:noFill/>
                    <a:ln>
                      <a:noFill/>
                    </a:ln>
                  </pic:spPr>
                </pic:pic>
              </a:graphicData>
            </a:graphic>
          </wp:inline>
        </w:drawing>
      </w:r>
    </w:p>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（a）郑蒲港校区图书馆               （b）霍里山校区图书馆</w:t>
      </w:r>
    </w:p>
    <w:p>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drawing>
          <wp:inline distT="0" distB="0" distL="0" distR="0">
            <wp:extent cx="2743200" cy="1732915"/>
            <wp:effectExtent l="0" t="0" r="0" b="635"/>
            <wp:docPr id="12" name="图片 12" descr="说明: C:\Users\NHRI_jxz\Documents\Tencent Files\375824327\FileRecv\MobileFile\IMG_20190717_10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说明: C:\Users\NHRI_jxz\Documents\Tencent Files\375824327\FileRecv\MobileFile\IMG_20190717_102707.jpg"/>
                    <pic:cNvPicPr>
                      <a:picLocks noChangeAspect="1" noChangeArrowheads="1"/>
                    </pic:cNvPicPr>
                  </pic:nvPicPr>
                  <pic:blipFill>
                    <a:blip r:embed="rId15">
                      <a:extLst>
                        <a:ext uri="{28A0092B-C50C-407E-A947-70E740481C1C}">
                          <a14:useLocalDpi xmlns:a14="http://schemas.microsoft.com/office/drawing/2010/main" val="0"/>
                        </a:ext>
                      </a:extLst>
                    </a:blip>
                    <a:srcRect l="-2"/>
                    <a:stretch>
                      <a:fillRect/>
                    </a:stretch>
                  </pic:blipFill>
                  <pic:spPr>
                    <a:xfrm>
                      <a:off x="0" y="0"/>
                      <a:ext cx="2743200" cy="1732915"/>
                    </a:xfrm>
                    <a:prstGeom prst="rect">
                      <a:avLst/>
                    </a:prstGeom>
                    <a:noFill/>
                    <a:ln>
                      <a:noFill/>
                    </a:ln>
                  </pic:spPr>
                </pic:pic>
              </a:graphicData>
            </a:graphic>
          </wp:inline>
        </w:drawing>
      </w: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drawing>
          <wp:inline distT="0" distB="0" distL="0" distR="0">
            <wp:extent cx="2774950" cy="1732915"/>
            <wp:effectExtent l="0" t="0" r="635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774950" cy="1732915"/>
                    </a:xfrm>
                    <a:prstGeom prst="rect">
                      <a:avLst/>
                    </a:prstGeom>
                    <a:noFill/>
                    <a:ln>
                      <a:noFill/>
                    </a:ln>
                  </pic:spPr>
                </pic:pic>
              </a:graphicData>
            </a:graphic>
          </wp:inline>
        </w:drawing>
      </w:r>
    </w:p>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（c）图书馆纸质藏书                （d）图书馆数字资源库</w:t>
      </w:r>
    </w:p>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图2 皖江工学院图书馆</w:t>
      </w:r>
    </w:p>
    <w:p>
      <w:pPr>
        <w:spacing w:line="360" w:lineRule="auto"/>
        <w:ind w:firstLine="482" w:firstLineChars="200"/>
        <w:outlineLvl w:val="1"/>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3.3实习基地</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校内外实践基地是学生巩固理论知识、增强劳动观念、练就实践能力、实现角色转换、培养综合职业素质的实践性学习与训练场所。建设校内外实践基地是专业建设、课程建设、理论与实践相结合的基本内容。结合专业学科方向，坚持以培养车辆工程类创新型的应用型人才作为基地建设的指导思想，进行基地与学科一体化建设，实现“品牌基地、一流基地，培养应用型人才”的目标。</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至今汽车服务工程专业与南京金龙客车制造有限公司、无锡九和模具有限公司等11家院校与公司签订了大学生实践基地协议，以满足专业实习教学要求。通过建立校企、校校协作机制，安排经验丰富的企业技术人员指导学生开展实践活动，使实习经常化、制度化，切实提高学生的综合素质。实习基地一览详见表9，部分实习基地场景如图3所示。</w:t>
      </w:r>
    </w:p>
    <w:p>
      <w:pPr>
        <w:spacing w:line="360" w:lineRule="auto"/>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表9 汽车服务工程专业实习基地一览表</w:t>
      </w:r>
    </w:p>
    <w:tbl>
      <w:tblPr>
        <w:tblStyle w:val="4"/>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3793"/>
        <w:gridCol w:w="851"/>
        <w:gridCol w:w="3294"/>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ind w:left="-61" w:leftChars="-2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序号</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基地名称</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地址</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ind w:firstLine="210" w:firstLineChars="10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实习内容</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建立时间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南京金龙客车制造有限公司</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南京市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对纯电动客车、混合动力等新能源客车认识</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安徽三联泵业股份有限公司</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对泵类产品认识</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马鞍山市中冶机械有限责任公司</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对汽车模具认识</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无锡九和模具有限公司</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无锡市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对汽车冲压模具的认识</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南京东华企业管理培训中心</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南京市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对汽车零配件认识</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w:t>
            </w:r>
          </w:p>
        </w:tc>
        <w:tc>
          <w:tcPr>
            <w:tcW w:w="379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安徽工业大学工程实践与创新教育中心</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金工实习</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安徽东海机床制造有限公司</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对机械设备的认识</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8</w:t>
            </w:r>
          </w:p>
        </w:tc>
        <w:tc>
          <w:tcPr>
            <w:tcW w:w="379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马鞍山市顺通机动车辆检测有限公司</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对机动车综合性能检测认识</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9</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马鞍山市雨山区文速汽车修理厂</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对整车结构及零配件认识</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10</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南京富朗汽车零部件有限公司</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南京市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对汽车冲压模具的认识</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11</w:t>
            </w:r>
          </w:p>
        </w:tc>
        <w:tc>
          <w:tcPr>
            <w:tcW w:w="37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皖江职教中心学校</w:t>
            </w:r>
          </w:p>
        </w:tc>
        <w:tc>
          <w:tcPr>
            <w:tcW w:w="851" w:type="dxa"/>
            <w:tcBorders>
              <w:top w:val="single" w:color="auto" w:sz="4" w:space="0"/>
              <w:left w:val="single" w:color="auto" w:sz="4" w:space="0"/>
              <w:bottom w:val="single" w:color="auto" w:sz="4" w:space="0"/>
              <w:right w:val="single" w:color="auto" w:sz="4" w:space="0"/>
            </w:tcBorders>
            <w:vAlign w:val="center"/>
          </w:tcPr>
          <w:p>
            <w:pPr>
              <w:spacing w:line="360" w:lineRule="auto"/>
              <w:ind w:left="-103" w:leftChars="-49" w:right="-103" w:rightChars="-4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马鞍山市</w:t>
            </w:r>
          </w:p>
        </w:tc>
        <w:tc>
          <w:tcPr>
            <w:tcW w:w="32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汽车电子技术、汽车维护诊断</w:t>
            </w:r>
          </w:p>
        </w:tc>
        <w:tc>
          <w:tcPr>
            <w:tcW w:w="11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2019年</w:t>
            </w:r>
          </w:p>
        </w:tc>
      </w:tr>
    </w:tbl>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476500" cy="1732915"/>
            <wp:effectExtent l="0" t="0" r="0" b="635"/>
            <wp:docPr id="22" name="图片 22"/>
            <wp:cNvGraphicFramePr/>
            <a:graphic xmlns:a="http://schemas.openxmlformats.org/drawingml/2006/main">
              <a:graphicData uri="http://schemas.openxmlformats.org/drawingml/2006/picture">
                <pic:pic xmlns:pic="http://schemas.openxmlformats.org/drawingml/2006/picture">
                  <pic:nvPicPr>
                    <pic:cNvPr id="22" name="图片 22"/>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477135" cy="1733249"/>
                    </a:xfrm>
                    <a:prstGeom prst="rect">
                      <a:avLst/>
                    </a:prstGeom>
                    <a:noFill/>
                    <a:ln>
                      <a:noFill/>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2487295" cy="1732915"/>
            <wp:effectExtent l="0" t="0" r="8255" b="635"/>
            <wp:docPr id="21" name="图片 21"/>
            <wp:cNvGraphicFramePr/>
            <a:graphic xmlns:a="http://schemas.openxmlformats.org/drawingml/2006/main">
              <a:graphicData uri="http://schemas.openxmlformats.org/drawingml/2006/picture">
                <pic:pic xmlns:pic="http://schemas.openxmlformats.org/drawingml/2006/picture">
                  <pic:nvPicPr>
                    <pic:cNvPr id="21" name="图片 21"/>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487930" cy="1733249"/>
                    </a:xfrm>
                    <a:prstGeom prst="rect">
                      <a:avLst/>
                    </a:prstGeom>
                    <a:noFill/>
                    <a:ln>
                      <a:noFill/>
                    </a:ln>
                  </pic:spPr>
                </pic:pic>
              </a:graphicData>
            </a:graphic>
          </wp:inline>
        </w:drawing>
      </w:r>
    </w:p>
    <w:p>
      <w:pPr>
        <w:spacing w:line="28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（a）南京东华企业管理培训中心（依维柯） （b）南京东华企业管理培训中心（荣威名爵）</w:t>
      </w:r>
    </w:p>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487295" cy="1701165"/>
            <wp:effectExtent l="0" t="0" r="8255" b="13335"/>
            <wp:docPr id="20" name="图片 20"/>
            <wp:cNvGraphicFramePr/>
            <a:graphic xmlns:a="http://schemas.openxmlformats.org/drawingml/2006/main">
              <a:graphicData uri="http://schemas.openxmlformats.org/drawingml/2006/picture">
                <pic:pic xmlns:pic="http://schemas.openxmlformats.org/drawingml/2006/picture">
                  <pic:nvPicPr>
                    <pic:cNvPr id="20" name="图片 2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487930" cy="1701349"/>
                    </a:xfrm>
                    <a:prstGeom prst="rect">
                      <a:avLst/>
                    </a:prstGeom>
                    <a:noFill/>
                    <a:ln>
                      <a:noFill/>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2487295" cy="1701165"/>
            <wp:effectExtent l="0" t="0" r="8255" b="13335"/>
            <wp:docPr id="19" name="图片 19"/>
            <wp:cNvGraphicFramePr/>
            <a:graphic xmlns:a="http://schemas.openxmlformats.org/drawingml/2006/main">
              <a:graphicData uri="http://schemas.openxmlformats.org/drawingml/2006/picture">
                <pic:pic xmlns:pic="http://schemas.openxmlformats.org/drawingml/2006/picture">
                  <pic:nvPicPr>
                    <pic:cNvPr id="19" name="图片 19"/>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487930" cy="1701349"/>
                    </a:xfrm>
                    <a:prstGeom prst="rect">
                      <a:avLst/>
                    </a:prstGeom>
                    <a:noFill/>
                    <a:ln>
                      <a:noFill/>
                    </a:ln>
                  </pic:spPr>
                </pic:pic>
              </a:graphicData>
            </a:graphic>
          </wp:inline>
        </w:drawing>
      </w:r>
    </w:p>
    <w:p>
      <w:pPr>
        <w:spacing w:line="280" w:lineRule="exact"/>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（c）南京东华企业管理培训中心（跃进）    （d）安徽三联泵业股份有限公司</w:t>
      </w:r>
    </w:p>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477135" cy="1797050"/>
            <wp:effectExtent l="0" t="0" r="18415" b="12700"/>
            <wp:docPr id="18" name="图片 18" descr="无锡九合1"/>
            <wp:cNvGraphicFramePr/>
            <a:graphic xmlns:a="http://schemas.openxmlformats.org/drawingml/2006/main">
              <a:graphicData uri="http://schemas.openxmlformats.org/drawingml/2006/picture">
                <pic:pic xmlns:pic="http://schemas.openxmlformats.org/drawingml/2006/picture">
                  <pic:nvPicPr>
                    <pic:cNvPr id="18" name="图片 18" descr="无锡九合1"/>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477135" cy="1797050"/>
                    </a:xfrm>
                    <a:prstGeom prst="rect">
                      <a:avLst/>
                    </a:prstGeom>
                    <a:noFill/>
                    <a:ln>
                      <a:noFill/>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2477135" cy="1797050"/>
            <wp:effectExtent l="0" t="0" r="18415" b="12700"/>
            <wp:docPr id="17" name="图片 17" descr="微信图片_20200708090140"/>
            <wp:cNvGraphicFramePr/>
            <a:graphic xmlns:a="http://schemas.openxmlformats.org/drawingml/2006/main">
              <a:graphicData uri="http://schemas.openxmlformats.org/drawingml/2006/picture">
                <pic:pic xmlns:pic="http://schemas.openxmlformats.org/drawingml/2006/picture">
                  <pic:nvPicPr>
                    <pic:cNvPr id="17" name="图片 17" descr="微信图片_20200708090140"/>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477135" cy="1797050"/>
                    </a:xfrm>
                    <a:prstGeom prst="rect">
                      <a:avLst/>
                    </a:prstGeom>
                    <a:noFill/>
                    <a:ln>
                      <a:noFill/>
                    </a:ln>
                  </pic:spPr>
                </pic:pic>
              </a:graphicData>
            </a:graphic>
          </wp:inline>
        </w:drawing>
      </w:r>
    </w:p>
    <w:p>
      <w:pPr>
        <w:spacing w:line="28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（e）无锡九和模具有限公司      （f）马鞍山市顺通机动车辆检测有限公司</w:t>
      </w:r>
    </w:p>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2487930" cy="1797050"/>
            <wp:effectExtent l="0" t="0" r="7620" b="12700"/>
            <wp:docPr id="16" name="图片 16"/>
            <wp:cNvGraphicFramePr/>
            <a:graphic xmlns:a="http://schemas.openxmlformats.org/drawingml/2006/main">
              <a:graphicData uri="http://schemas.openxmlformats.org/drawingml/2006/picture">
                <pic:pic xmlns:pic="http://schemas.openxmlformats.org/drawingml/2006/picture">
                  <pic:nvPicPr>
                    <pic:cNvPr id="16" name="图片 16"/>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487930" cy="1797050"/>
                    </a:xfrm>
                    <a:prstGeom prst="rect">
                      <a:avLst/>
                    </a:prstGeom>
                    <a:noFill/>
                    <a:ln>
                      <a:noFill/>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2487930" cy="1797050"/>
            <wp:effectExtent l="0" t="0" r="7620" b="12700"/>
            <wp:docPr id="23" name="图片 23" descr="IMG_20200608_150617"/>
            <wp:cNvGraphicFramePr/>
            <a:graphic xmlns:a="http://schemas.openxmlformats.org/drawingml/2006/main">
              <a:graphicData uri="http://schemas.openxmlformats.org/drawingml/2006/picture">
                <pic:pic xmlns:pic="http://schemas.openxmlformats.org/drawingml/2006/picture">
                  <pic:nvPicPr>
                    <pic:cNvPr id="23" name="图片 23" descr="IMG_20200608_150617"/>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487930" cy="1797050"/>
                    </a:xfrm>
                    <a:prstGeom prst="rect">
                      <a:avLst/>
                    </a:prstGeom>
                    <a:noFill/>
                    <a:ln>
                      <a:noFill/>
                    </a:ln>
                  </pic:spPr>
                </pic:pic>
              </a:graphicData>
            </a:graphic>
          </wp:inline>
        </w:drawing>
      </w:r>
    </w:p>
    <w:p>
      <w:pPr>
        <w:spacing w:line="280" w:lineRule="exact"/>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（g）马鞍山市雨山区文速汽车修理厂      （h）皖江职教中心学校汽车实习工厂</w:t>
      </w:r>
    </w:p>
    <w:p>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图3 部分实习基地场景</w:t>
      </w:r>
    </w:p>
    <w:p>
      <w:pPr>
        <w:spacing w:line="360" w:lineRule="auto"/>
        <w:ind w:firstLine="482" w:firstLineChars="200"/>
        <w:outlineLvl w:val="1"/>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3.4学术交流</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本专业高度重视国内外学术交流与合作，在近4年的工作实践中积累了丰富经验。2021年，针对本专业我校邀请了安徽机电职业技术学院汽车与轨道学院院长王爱国教授、南京林业大学任凯副教授，南京优耐特信息科技有限公司林新华董事长等专家教授来校讲学3场；同时邀请了南京理工大学王良模教授、本专业黄昭明副教授以及徐靖博士和朱正阳工程师为专业讲学4场。通过专家讲座、学术会议，使中心人员受益良多，不仅对复杂工程问题进行了更为深入的了解，也激发了大家的科研热情，让大家对未来规划有了更为明确的方向。本年度主要学术报告/讲座，如表10所列；涉及本专业的部分活动照片，如4图所示。</w:t>
      </w:r>
    </w:p>
    <w:p>
      <w:pPr>
        <w:adjustRightInd w:val="0"/>
        <w:snapToGrid w:val="0"/>
        <w:spacing w:line="360" w:lineRule="auto"/>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表10 本专业开展</w:t>
      </w:r>
      <w:r>
        <w:rPr>
          <w:rFonts w:ascii="Times New Roman" w:hAnsi="Times New Roman" w:cs="Times New Roman"/>
          <w:color w:val="000000" w:themeColor="text1"/>
          <w:sz w:val="24"/>
          <w:szCs w:val="24"/>
          <w14:textFill>
            <w14:solidFill>
              <w14:schemeClr w14:val="tx1"/>
            </w14:solidFill>
          </w14:textFill>
        </w:rPr>
        <w:t>学术报告或讲座情况</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Layout w:type="autofit"/>
        <w:tblCellMar>
          <w:top w:w="0" w:type="dxa"/>
          <w:left w:w="0" w:type="dxa"/>
          <w:bottom w:w="0" w:type="dxa"/>
          <w:right w:w="0" w:type="dxa"/>
        </w:tblCellMar>
      </w:tblPr>
      <w:tblGrid>
        <w:gridCol w:w="808"/>
        <w:gridCol w:w="935"/>
        <w:gridCol w:w="5708"/>
        <w:gridCol w:w="104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0" w:type="dxa"/>
            <w:bottom w:w="0" w:type="dxa"/>
            <w:right w:w="0" w:type="dxa"/>
          </w:tblCellMar>
        </w:tblPrEx>
        <w:trPr>
          <w:trHeight w:val="52" w:hRule="atLeast"/>
          <w:tblHeader/>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序号</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报告人</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报告题目</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主持人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任凯</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二维半导体异质结分解水制氢的量子计算方法</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林新华</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机械、车辆、汽服、能动新能源等专业高质量就业详谈</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王良模</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纯电动轻型客车动力系统匹配设计及控制策略研究</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电动增压器和EGR对直喷汽油机性能和排放综合影响</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栾阔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王爱国</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汽车行驶系统技术改进创新研究</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徐靖</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钢铁加热炉智能诊断系统研究</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栾阔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朱正阳</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二维范德华半导体异质结光催化分解水性能研究</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栾阔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8</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朱天宇</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塔式太阳能热发电技术</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9</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赵恒文</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盾构机的昨天、今天和明天</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 w:hRule="atLeast"/>
          <w:jc w:val="center"/>
        </w:trPr>
        <w:tc>
          <w:tcPr>
            <w:tcW w:w="852"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10</w:t>
            </w:r>
          </w:p>
        </w:tc>
        <w:tc>
          <w:tcPr>
            <w:tcW w:w="993"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张建峰</w:t>
            </w:r>
          </w:p>
        </w:tc>
        <w:tc>
          <w:tcPr>
            <w:tcW w:w="6257"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新型功能复合材料的开发与应用实践</w:t>
            </w:r>
          </w:p>
        </w:tc>
        <w:tc>
          <w:tcPr>
            <w:tcW w:w="1114" w:type="dxa"/>
            <w:shd w:val="clear" w:color="auto" w:fill="FFFFFF" w:themeFill="background1"/>
            <w:tcMar>
              <w:top w:w="15" w:type="dxa"/>
              <w:left w:w="95" w:type="dxa"/>
              <w:bottom w:w="0" w:type="dxa"/>
              <w:right w:w="95" w:type="dxa"/>
            </w:tcMar>
            <w:vAlign w:val="center"/>
          </w:tcPr>
          <w:p>
            <w:pPr>
              <w:spacing w:before="109" w:beforeLines="35" w:after="109" w:afterLines="35"/>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tc>
      </w:tr>
    </w:tbl>
    <w:p>
      <w:pPr>
        <w:snapToGrid w:val="0"/>
        <w:jc w:val="center"/>
        <w:rPr>
          <w:rFonts w:ascii="Times New Roman" w:hAnsi="Times New Roman" w:cs="Times New Roman"/>
          <w:b/>
          <w:bCs/>
          <w:color w:val="000000" w:themeColor="text1"/>
          <w:sz w:val="32"/>
          <w:szCs w:val="28"/>
          <w14:textFill>
            <w14:solidFill>
              <w14:schemeClr w14:val="tx1"/>
            </w14:solidFill>
          </w14:textFill>
        </w:rPr>
      </w:pPr>
      <w:r>
        <w:rPr>
          <w:rFonts w:ascii="Times New Roman" w:hAnsi="Times New Roman" w:cs="Times New Roman"/>
          <w:color w:val="000000" w:themeColor="text1"/>
          <w:sz w:val="28"/>
          <w:szCs w:val="24"/>
          <w14:textFill>
            <w14:solidFill>
              <w14:schemeClr w14:val="tx1"/>
            </w14:solidFill>
          </w14:textFill>
        </w:rPr>
        <w:drawing>
          <wp:inline distT="0" distB="0" distL="114300" distR="114300">
            <wp:extent cx="2519680" cy="1885950"/>
            <wp:effectExtent l="0" t="0" r="13970" b="0"/>
            <wp:docPr id="43"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0" descr="IMG_256"/>
                    <pic:cNvPicPr>
                      <a:picLocks noChangeAspect="1"/>
                    </pic:cNvPicPr>
                  </pic:nvPicPr>
                  <pic:blipFill>
                    <a:blip r:embed="rId25"/>
                    <a:stretch>
                      <a:fillRect/>
                    </a:stretch>
                  </pic:blipFill>
                  <pic:spPr>
                    <a:xfrm>
                      <a:off x="0" y="0"/>
                      <a:ext cx="2520000" cy="1886400"/>
                    </a:xfrm>
                    <a:prstGeom prst="rect">
                      <a:avLst/>
                    </a:prstGeom>
                    <a:noFill/>
                    <a:ln w="9525">
                      <a:noFill/>
                    </a:ln>
                  </pic:spPr>
                </pic:pic>
              </a:graphicData>
            </a:graphic>
          </wp:inline>
        </w:drawing>
      </w:r>
      <w:r>
        <w:rPr>
          <w:rFonts w:ascii="Times New Roman" w:hAnsi="Times New Roman" w:cs="Times New Roman"/>
          <w:b/>
          <w:bCs/>
          <w:color w:val="000000" w:themeColor="text1"/>
          <w:sz w:val="32"/>
          <w:szCs w:val="28"/>
          <w14:textFill>
            <w14:solidFill>
              <w14:schemeClr w14:val="tx1"/>
            </w14:solidFill>
          </w14:textFill>
        </w:rPr>
        <w:t xml:space="preserve">    </w:t>
      </w:r>
      <w:r>
        <w:rPr>
          <w:rFonts w:ascii="Times New Roman" w:hAnsi="Times New Roman" w:cs="Times New Roman"/>
          <w:color w:val="000000" w:themeColor="text1"/>
          <w:sz w:val="28"/>
          <w:szCs w:val="24"/>
          <w14:textFill>
            <w14:solidFill>
              <w14:schemeClr w14:val="tx1"/>
            </w14:solidFill>
          </w14:textFill>
        </w:rPr>
        <w:drawing>
          <wp:inline distT="0" distB="0" distL="0" distR="0">
            <wp:extent cx="2519680" cy="1890395"/>
            <wp:effectExtent l="0" t="0" r="13970" b="1460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0000" cy="1890860"/>
                    </a:xfrm>
                    <a:prstGeom prst="rect">
                      <a:avLst/>
                    </a:prstGeom>
                  </pic:spPr>
                </pic:pic>
              </a:graphicData>
            </a:graphic>
          </wp:inline>
        </w:drawing>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 w:hRule="atLeast"/>
          <w:jc w:val="center"/>
        </w:trPr>
        <w:tc>
          <w:tcPr>
            <w:tcW w:w="4502" w:type="dxa"/>
          </w:tcPr>
          <w:p>
            <w:pPr>
              <w:spacing w:before="156" w:beforeLines="50" w:after="156" w:afterLines="50"/>
              <w:jc w:val="center"/>
              <w:rPr>
                <w:rFonts w:ascii="Times New Roman" w:hAnsi="Times New Roman" w:cs="Times New Roman" w:eastAsiaTheme="minorEastAsia"/>
                <w:color w:val="000000" w:themeColor="text1"/>
                <w:kern w:val="0"/>
                <w:sz w:val="21"/>
                <w:szCs w:val="21"/>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（a）皖江工学院博士后科研工作站揭牌</w:t>
            </w:r>
          </w:p>
        </w:tc>
        <w:tc>
          <w:tcPr>
            <w:tcW w:w="4502" w:type="dxa"/>
            <w:vAlign w:val="center"/>
          </w:tcPr>
          <w:p>
            <w:pPr>
              <w:spacing w:before="156" w:beforeLines="50" w:after="156" w:afterLines="50"/>
              <w:jc w:val="center"/>
              <w:rPr>
                <w:rFonts w:ascii="Times New Roman" w:hAnsi="Times New Roman" w:cs="Times New Roman" w:eastAsiaTheme="minorEastAsia"/>
                <w:color w:val="000000" w:themeColor="text1"/>
                <w:kern w:val="0"/>
                <w:sz w:val="21"/>
                <w:szCs w:val="21"/>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（b）新工科、新文科本科人才培养研讨会</w:t>
            </w:r>
          </w:p>
        </w:tc>
      </w:tr>
    </w:tbl>
    <w:p>
      <w:pPr>
        <w:snapToGrid w:val="0"/>
        <w:jc w:val="center"/>
        <w:rPr>
          <w:rFonts w:ascii="Times New Roman" w:hAnsi="Times New Roman" w:cs="Times New Roman"/>
          <w:b/>
          <w:bCs/>
          <w:color w:val="000000" w:themeColor="text1"/>
          <w:sz w:val="32"/>
          <w:szCs w:val="28"/>
          <w14:textFill>
            <w14:solidFill>
              <w14:schemeClr w14:val="tx1"/>
            </w14:solidFill>
          </w14:textFill>
        </w:rPr>
      </w:pPr>
      <w:r>
        <w:rPr>
          <w:rFonts w:ascii="Times New Roman" w:hAnsi="Times New Roman" w:cs="Times New Roman"/>
          <w:color w:val="000000" w:themeColor="text1"/>
          <w:sz w:val="28"/>
          <w:szCs w:val="24"/>
          <w14:textFill>
            <w14:solidFill>
              <w14:schemeClr w14:val="tx1"/>
            </w14:solidFill>
          </w14:textFill>
        </w:rPr>
        <w:drawing>
          <wp:inline distT="0" distB="0" distL="0" distR="0">
            <wp:extent cx="2519680" cy="1890395"/>
            <wp:effectExtent l="0" t="0" r="13970" b="1460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20000" cy="1890860"/>
                    </a:xfrm>
                    <a:prstGeom prst="rect">
                      <a:avLst/>
                    </a:prstGeom>
                  </pic:spPr>
                </pic:pic>
              </a:graphicData>
            </a:graphic>
          </wp:inline>
        </w:drawing>
      </w:r>
      <w:r>
        <w:rPr>
          <w:rFonts w:ascii="Times New Roman" w:hAnsi="Times New Roman" w:cs="Times New Roman"/>
          <w:b/>
          <w:bCs/>
          <w:color w:val="000000" w:themeColor="text1"/>
          <w:sz w:val="32"/>
          <w:szCs w:val="28"/>
          <w14:textFill>
            <w14:solidFill>
              <w14:schemeClr w14:val="tx1"/>
            </w14:solidFill>
          </w14:textFill>
        </w:rPr>
        <w:t xml:space="preserve">    </w:t>
      </w:r>
      <w:r>
        <w:rPr>
          <w:rFonts w:ascii="Times New Roman" w:hAnsi="Times New Roman" w:cs="Times New Roman"/>
          <w:color w:val="000000" w:themeColor="text1"/>
          <w:sz w:val="28"/>
          <w:szCs w:val="24"/>
          <w14:textFill>
            <w14:solidFill>
              <w14:schemeClr w14:val="tx1"/>
            </w14:solidFill>
          </w14:textFill>
        </w:rPr>
        <w:drawing>
          <wp:inline distT="0" distB="0" distL="0" distR="0">
            <wp:extent cx="2519680" cy="1889760"/>
            <wp:effectExtent l="0" t="0" r="13970" b="1524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20000" cy="1890000"/>
                    </a:xfrm>
                    <a:prstGeom prst="rect">
                      <a:avLst/>
                    </a:prstGeom>
                  </pic:spPr>
                </pic:pic>
              </a:graphicData>
            </a:graphic>
          </wp:inline>
        </w:drawing>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 w:hRule="atLeast"/>
          <w:jc w:val="center"/>
        </w:trPr>
        <w:tc>
          <w:tcPr>
            <w:tcW w:w="4502" w:type="dxa"/>
            <w:vAlign w:val="center"/>
          </w:tcPr>
          <w:p>
            <w:pPr>
              <w:spacing w:before="156" w:beforeLines="50" w:after="156" w:afterLines="50"/>
              <w:jc w:val="center"/>
              <w:rPr>
                <w:rFonts w:ascii="Times New Roman" w:hAnsi="Times New Roman" w:cs="Times New Roman" w:eastAsiaTheme="minorEastAsia"/>
                <w:color w:val="000000" w:themeColor="text1"/>
                <w:kern w:val="0"/>
                <w:sz w:val="21"/>
                <w:szCs w:val="21"/>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（c）中心人员参加宣城市企业人才引进洽谈会</w:t>
            </w:r>
          </w:p>
        </w:tc>
        <w:tc>
          <w:tcPr>
            <w:tcW w:w="4502" w:type="dxa"/>
            <w:vAlign w:val="center"/>
          </w:tcPr>
          <w:p>
            <w:pPr>
              <w:spacing w:before="156" w:beforeLines="50" w:after="156" w:afterLines="50"/>
              <w:jc w:val="center"/>
              <w:rPr>
                <w:rFonts w:ascii="Times New Roman" w:hAnsi="Times New Roman" w:cs="Times New Roman" w:eastAsiaTheme="minorEastAsia"/>
                <w:color w:val="000000" w:themeColor="text1"/>
                <w:kern w:val="0"/>
                <w:sz w:val="21"/>
                <w:szCs w:val="21"/>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（d）中心主任王良模教授作学术交流报告</w:t>
            </w:r>
          </w:p>
        </w:tc>
      </w:tr>
    </w:tbl>
    <w:p>
      <w:pPr>
        <w:snapToGrid w:val="0"/>
        <w:jc w:val="center"/>
        <w:rPr>
          <w:rFonts w:ascii="Times New Roman" w:hAnsi="Times New Roman" w:cs="Times New Roman"/>
          <w:b/>
          <w:bCs/>
          <w:color w:val="000000" w:themeColor="text1"/>
          <w:sz w:val="32"/>
          <w:szCs w:val="28"/>
          <w14:textFill>
            <w14:solidFill>
              <w14:schemeClr w14:val="tx1"/>
            </w14:solidFill>
          </w14:textFill>
        </w:rPr>
      </w:pPr>
      <w:r>
        <w:rPr>
          <w:rFonts w:ascii="Times New Roman" w:hAnsi="Times New Roman" w:cs="Times New Roman"/>
          <w:color w:val="000000" w:themeColor="text1"/>
          <w:sz w:val="22"/>
          <w14:textFill>
            <w14:solidFill>
              <w14:schemeClr w14:val="tx1"/>
            </w14:solidFill>
          </w14:textFill>
        </w:rPr>
        <w:drawing>
          <wp:inline distT="0" distB="0" distL="0" distR="0">
            <wp:extent cx="2519680" cy="1887855"/>
            <wp:effectExtent l="0" t="0" r="13970" b="1714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20000" cy="1888250"/>
                    </a:xfrm>
                    <a:prstGeom prst="rect">
                      <a:avLst/>
                    </a:prstGeom>
                  </pic:spPr>
                </pic:pic>
              </a:graphicData>
            </a:graphic>
          </wp:inline>
        </w:drawing>
      </w:r>
      <w:r>
        <w:rPr>
          <w:rFonts w:ascii="Times New Roman" w:hAnsi="Times New Roman" w:cs="Times New Roman"/>
          <w:b/>
          <w:bCs/>
          <w:color w:val="000000" w:themeColor="text1"/>
          <w:sz w:val="32"/>
          <w:szCs w:val="28"/>
          <w14:textFill>
            <w14:solidFill>
              <w14:schemeClr w14:val="tx1"/>
            </w14:solidFill>
          </w14:textFill>
        </w:rPr>
        <w:t xml:space="preserve">    </w:t>
      </w:r>
      <w:r>
        <w:rPr>
          <w:rFonts w:ascii="Times New Roman" w:hAnsi="Times New Roman" w:cs="Times New Roman"/>
          <w:color w:val="000000" w:themeColor="text1"/>
          <w:sz w:val="28"/>
          <w:szCs w:val="24"/>
          <w14:textFill>
            <w14:solidFill>
              <w14:schemeClr w14:val="tx1"/>
            </w14:solidFill>
          </w14:textFill>
        </w:rPr>
        <w:drawing>
          <wp:inline distT="0" distB="0" distL="0" distR="0">
            <wp:extent cx="2519680" cy="1885950"/>
            <wp:effectExtent l="0" t="0" r="1397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520000" cy="1886257"/>
                    </a:xfrm>
                    <a:prstGeom prst="rect">
                      <a:avLst/>
                    </a:prstGeom>
                  </pic:spPr>
                </pic:pic>
              </a:graphicData>
            </a:graphic>
          </wp:inline>
        </w:drawing>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2"/>
        <w:gridCol w:w="42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02" w:type="dxa"/>
          </w:tcPr>
          <w:p>
            <w:pPr>
              <w:spacing w:before="156" w:beforeLines="50" w:after="156" w:afterLines="50"/>
              <w:jc w:val="center"/>
              <w:rPr>
                <w:rFonts w:ascii="Times New Roman" w:hAnsi="Times New Roman" w:cs="Times New Roman" w:eastAsiaTheme="minorEastAsia"/>
                <w:color w:val="000000" w:themeColor="text1"/>
                <w:kern w:val="0"/>
                <w:sz w:val="21"/>
                <w:szCs w:val="21"/>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（e）中心主任朱天宇教授作学术交流报告</w:t>
            </w:r>
          </w:p>
        </w:tc>
        <w:tc>
          <w:tcPr>
            <w:tcW w:w="4502" w:type="dxa"/>
          </w:tcPr>
          <w:p>
            <w:pPr>
              <w:spacing w:before="156" w:beforeLines="50" w:after="156" w:afterLines="50"/>
              <w:jc w:val="center"/>
              <w:rPr>
                <w:rFonts w:ascii="Times New Roman" w:hAnsi="Times New Roman" w:cs="Times New Roman" w:eastAsiaTheme="minorEastAsia"/>
                <w:color w:val="000000" w:themeColor="text1"/>
                <w:kern w:val="0"/>
                <w:sz w:val="21"/>
                <w:szCs w:val="21"/>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（f）河海大学张建峰教授作学术交流报告</w:t>
            </w:r>
          </w:p>
        </w:tc>
      </w:tr>
    </w:tbl>
    <w:p>
      <w:pPr>
        <w:snapToGrid w:val="0"/>
        <w:jc w:val="center"/>
        <w:rPr>
          <w:rFonts w:ascii="Times New Roman" w:hAnsi="Times New Roman" w:cs="Times New Roman"/>
          <w:b/>
          <w:bCs/>
          <w:color w:val="000000" w:themeColor="text1"/>
          <w:sz w:val="32"/>
          <w:szCs w:val="28"/>
          <w14:textFill>
            <w14:solidFill>
              <w14:schemeClr w14:val="tx1"/>
            </w14:solidFill>
          </w14:textFill>
        </w:rPr>
      </w:pPr>
      <w:r>
        <w:rPr>
          <w:rFonts w:ascii="Times New Roman" w:hAnsi="Times New Roman" w:cs="Times New Roman"/>
          <w:color w:val="000000" w:themeColor="text1"/>
          <w:sz w:val="28"/>
          <w:szCs w:val="24"/>
          <w14:textFill>
            <w14:solidFill>
              <w14:schemeClr w14:val="tx1"/>
            </w14:solidFill>
          </w14:textFill>
        </w:rPr>
        <w:drawing>
          <wp:inline distT="0" distB="0" distL="0" distR="0">
            <wp:extent cx="2519680" cy="1889760"/>
            <wp:effectExtent l="0" t="0" r="13970" b="1524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520000" cy="1890000"/>
                    </a:xfrm>
                    <a:prstGeom prst="rect">
                      <a:avLst/>
                    </a:prstGeom>
                  </pic:spPr>
                </pic:pic>
              </a:graphicData>
            </a:graphic>
          </wp:inline>
        </w:drawing>
      </w:r>
      <w:r>
        <w:rPr>
          <w:rFonts w:ascii="Times New Roman" w:hAnsi="Times New Roman" w:cs="Times New Roman"/>
          <w:b/>
          <w:bCs/>
          <w:color w:val="000000" w:themeColor="text1"/>
          <w:sz w:val="32"/>
          <w:szCs w:val="28"/>
          <w14:textFill>
            <w14:solidFill>
              <w14:schemeClr w14:val="tx1"/>
            </w14:solidFill>
          </w14:textFill>
        </w:rPr>
        <w:t xml:space="preserve">    </w:t>
      </w:r>
      <w:r>
        <w:rPr>
          <w:rFonts w:ascii="Times New Roman" w:hAnsi="Times New Roman" w:cs="Times New Roman"/>
          <w:color w:val="000000" w:themeColor="text1"/>
          <w:sz w:val="28"/>
          <w:szCs w:val="24"/>
          <w14:textFill>
            <w14:solidFill>
              <w14:schemeClr w14:val="tx1"/>
            </w14:solidFill>
          </w14:textFill>
        </w:rPr>
        <w:drawing>
          <wp:inline distT="0" distB="0" distL="0" distR="0">
            <wp:extent cx="2519680" cy="1885950"/>
            <wp:effectExtent l="0" t="0" r="13970" b="0"/>
            <wp:docPr id="48" name="图片 48"/>
            <wp:cNvGraphicFramePr/>
            <a:graphic xmlns:a="http://schemas.openxmlformats.org/drawingml/2006/main">
              <a:graphicData uri="http://schemas.openxmlformats.org/drawingml/2006/picture">
                <pic:pic xmlns:pic="http://schemas.openxmlformats.org/drawingml/2006/picture">
                  <pic:nvPicPr>
                    <pic:cNvPr id="48" name="图片 48"/>
                    <pic:cNvPicPr/>
                  </pic:nvPicPr>
                  <pic:blipFill>
                    <a:blip r:embed="rId32">
                      <a:extLst>
                        <a:ext uri="{28A0092B-C50C-407E-A947-70E740481C1C}">
                          <a14:useLocalDpi xmlns:a14="http://schemas.microsoft.com/office/drawing/2010/main" val="0"/>
                        </a:ext>
                      </a:extLst>
                    </a:blip>
                    <a:stretch>
                      <a:fillRect/>
                    </a:stretch>
                  </pic:blipFill>
                  <pic:spPr>
                    <a:xfrm>
                      <a:off x="0" y="0"/>
                      <a:ext cx="2520000" cy="1886400"/>
                    </a:xfrm>
                    <a:prstGeom prst="rect">
                      <a:avLst/>
                    </a:prstGeom>
                  </pic:spPr>
                </pic:pic>
              </a:graphicData>
            </a:graphic>
          </wp:inline>
        </w:drawing>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02" w:type="dxa"/>
          </w:tcPr>
          <w:p>
            <w:pPr>
              <w:pStyle w:val="3"/>
              <w:adjustRightInd w:val="0"/>
              <w:snapToGrid w:val="0"/>
              <w:spacing w:before="156" w:beforeLines="50" w:after="156" w:afterLines="50"/>
              <w:ind w:firstLine="0" w:firstLineChars="0"/>
              <w:jc w:val="center"/>
              <w:rPr>
                <w:rFonts w:ascii="Times New Roman" w:hAnsi="Times New Roman" w:cs="Times New Roman" w:eastAsiaTheme="minorEastAsia"/>
                <w:color w:val="000000" w:themeColor="text1"/>
                <w:kern w:val="0"/>
                <w:sz w:val="21"/>
                <w:szCs w:val="21"/>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（g）安机电王爱国教授作学术交流报告</w:t>
            </w:r>
          </w:p>
        </w:tc>
        <w:tc>
          <w:tcPr>
            <w:tcW w:w="4502" w:type="dxa"/>
          </w:tcPr>
          <w:p>
            <w:pPr>
              <w:pStyle w:val="3"/>
              <w:adjustRightInd w:val="0"/>
              <w:snapToGrid w:val="0"/>
              <w:spacing w:before="156" w:beforeLines="50" w:after="156" w:afterLines="50"/>
              <w:ind w:firstLine="0" w:firstLineChars="0"/>
              <w:jc w:val="center"/>
              <w:rPr>
                <w:rFonts w:ascii="Times New Roman" w:hAnsi="Times New Roman" w:cs="Times New Roman" w:eastAsiaTheme="minorEastAsia"/>
                <w:color w:val="000000" w:themeColor="text1"/>
                <w:kern w:val="0"/>
                <w:sz w:val="21"/>
                <w:szCs w:val="21"/>
                <w:shd w:val="clear" w:color="auto" w:fill="FFFFFF"/>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（h）南林大任凯副教授作学术交流报告</w:t>
            </w:r>
          </w:p>
        </w:tc>
      </w:tr>
    </w:tbl>
    <w:p>
      <w:pPr>
        <w:snapToGrid w:val="0"/>
        <w:jc w:val="center"/>
        <w:rPr>
          <w:rFonts w:ascii="Times New Roman" w:hAnsi="Times New Roman" w:cs="Times New Roman"/>
          <w:b/>
          <w:bCs/>
          <w:color w:val="000000" w:themeColor="text1"/>
          <w:sz w:val="32"/>
          <w:szCs w:val="28"/>
          <w14:textFill>
            <w14:solidFill>
              <w14:schemeClr w14:val="tx1"/>
            </w14:solidFill>
          </w14:textFill>
        </w:rPr>
      </w:pPr>
      <w:r>
        <w:rPr>
          <w:rFonts w:ascii="Times New Roman" w:hAnsi="Times New Roman" w:cs="Times New Roman"/>
          <w:color w:val="000000" w:themeColor="text1"/>
          <w:sz w:val="22"/>
          <w:szCs w:val="21"/>
          <w14:textFill>
            <w14:solidFill>
              <w14:schemeClr w14:val="tx1"/>
            </w14:solidFill>
          </w14:textFill>
        </w:rPr>
        <w:drawing>
          <wp:inline distT="0" distB="0" distL="0" distR="0">
            <wp:extent cx="2519680" cy="1889125"/>
            <wp:effectExtent l="0" t="0" r="13970" b="1587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20000" cy="1889140"/>
                    </a:xfrm>
                    <a:prstGeom prst="rect">
                      <a:avLst/>
                    </a:prstGeom>
                  </pic:spPr>
                </pic:pic>
              </a:graphicData>
            </a:graphic>
          </wp:inline>
        </w:drawing>
      </w:r>
      <w:r>
        <w:rPr>
          <w:rFonts w:ascii="Times New Roman" w:hAnsi="Times New Roman" w:cs="Times New Roman"/>
          <w:b/>
          <w:bCs/>
          <w:color w:val="000000" w:themeColor="text1"/>
          <w:sz w:val="32"/>
          <w:szCs w:val="28"/>
          <w14:textFill>
            <w14:solidFill>
              <w14:schemeClr w14:val="tx1"/>
            </w14:solidFill>
          </w14:textFill>
        </w:rPr>
        <w:t xml:space="preserve">    </w:t>
      </w:r>
      <w:r>
        <w:rPr>
          <w:rFonts w:ascii="Times New Roman" w:hAnsi="Times New Roman" w:cs="Times New Roman"/>
          <w:color w:val="000000" w:themeColor="text1"/>
          <w:sz w:val="22"/>
          <w:szCs w:val="21"/>
          <w14:textFill>
            <w14:solidFill>
              <w14:schemeClr w14:val="tx1"/>
            </w14:solidFill>
          </w14:textFill>
        </w:rPr>
        <w:drawing>
          <wp:inline distT="0" distB="0" distL="0" distR="0">
            <wp:extent cx="2519680" cy="1890395"/>
            <wp:effectExtent l="0" t="0" r="13970" b="1460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20000" cy="1890496"/>
                    </a:xfrm>
                    <a:prstGeom prst="rect">
                      <a:avLst/>
                    </a:prstGeom>
                  </pic:spPr>
                </pic:pic>
              </a:graphicData>
            </a:graphic>
          </wp:inline>
        </w:drawing>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502" w:type="dxa"/>
          </w:tcPr>
          <w:p>
            <w:pPr>
              <w:spacing w:before="156" w:beforeLines="50" w:after="156" w:afterLines="50"/>
              <w:jc w:val="center"/>
              <w:rPr>
                <w:rFonts w:ascii="Times New Roman" w:hAnsi="Times New Roman" w:cs="Times New Roman" w:eastAsiaTheme="minorEastAsia"/>
                <w:color w:val="000000" w:themeColor="text1"/>
                <w:kern w:val="0"/>
                <w:sz w:val="21"/>
                <w:szCs w:val="21"/>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（i）中心朱正阳老师作学术交流报告</w:t>
            </w:r>
          </w:p>
        </w:tc>
        <w:tc>
          <w:tcPr>
            <w:tcW w:w="4502" w:type="dxa"/>
          </w:tcPr>
          <w:p>
            <w:pPr>
              <w:spacing w:before="156" w:beforeLines="50" w:after="156" w:afterLines="50"/>
              <w:jc w:val="center"/>
              <w:rPr>
                <w:rFonts w:ascii="Times New Roman" w:hAnsi="Times New Roman" w:cs="Times New Roman" w:eastAsiaTheme="minorEastAsia"/>
                <w:color w:val="000000" w:themeColor="text1"/>
                <w:kern w:val="0"/>
                <w:sz w:val="21"/>
                <w:szCs w:val="21"/>
                <w14:textFill>
                  <w14:solidFill>
                    <w14:schemeClr w14:val="tx1"/>
                  </w14:solidFill>
                </w14:textFill>
              </w:rPr>
            </w:pPr>
            <w:r>
              <w:rPr>
                <w:rFonts w:ascii="Times New Roman" w:hAnsi="Times New Roman" w:cs="Times New Roman" w:eastAsiaTheme="minorEastAsia"/>
                <w:color w:val="000000" w:themeColor="text1"/>
                <w:kern w:val="0"/>
                <w:sz w:val="21"/>
                <w:szCs w:val="21"/>
                <w14:textFill>
                  <w14:solidFill>
                    <w14:schemeClr w14:val="tx1"/>
                  </w14:solidFill>
                </w14:textFill>
              </w:rPr>
              <w:t>（j）马鞍山市知识产权局来中心洽谈合作</w:t>
            </w:r>
          </w:p>
        </w:tc>
      </w:tr>
    </w:tbl>
    <w:p>
      <w:pPr>
        <w:snapToGrid w:val="0"/>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图4 涉及本专业的部分活动照片</w:t>
      </w:r>
    </w:p>
    <w:p>
      <w:pPr>
        <w:snapToGrid w:val="0"/>
        <w:jc w:val="center"/>
        <w:rPr>
          <w:rFonts w:ascii="Times New Roman" w:hAnsi="Times New Roman" w:cs="Times New Roman"/>
          <w:bCs/>
          <w:color w:val="000000" w:themeColor="text1"/>
          <w:sz w:val="24"/>
          <w:szCs w:val="24"/>
          <w14:textFill>
            <w14:solidFill>
              <w14:schemeClr w14:val="tx1"/>
            </w14:solidFill>
          </w14:textFill>
        </w:rPr>
      </w:pPr>
    </w:p>
    <w:p>
      <w:pPr>
        <w:spacing w:line="360" w:lineRule="auto"/>
        <w:outlineLvl w:val="1"/>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（四）教学过程及管理</w:t>
      </w:r>
    </w:p>
    <w:p>
      <w:pPr>
        <w:spacing w:line="360" w:lineRule="auto"/>
        <w:ind w:firstLine="482" w:firstLineChars="200"/>
        <w:outlineLvl w:val="1"/>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4.1课程建设</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汽车服务工程专业十分重视专业课程建设，建立了理论课程、集中实践教学和综合素质教育组成的课程体系，并确定了专业特色课程建设与实施。汽车服务工程专业课程及完成情况，如表11所列。</w:t>
      </w:r>
    </w:p>
    <w:p>
      <w:pPr>
        <w:spacing w:line="360" w:lineRule="auto"/>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表11 汽车服务工程专业课程及完成情况</w:t>
      </w:r>
    </w:p>
    <w:tbl>
      <w:tblPr>
        <w:tblStyle w:val="4"/>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953"/>
        <w:gridCol w:w="1423"/>
        <w:gridCol w:w="1204"/>
        <w:gridCol w:w="1440"/>
        <w:gridCol w:w="1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restart"/>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公共基础</w:t>
            </w:r>
          </w:p>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选修课</w:t>
            </w:r>
          </w:p>
        </w:tc>
        <w:tc>
          <w:tcPr>
            <w:tcW w:w="295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课程名称</w:t>
            </w:r>
          </w:p>
        </w:tc>
        <w:tc>
          <w:tcPr>
            <w:tcW w:w="142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学时</w:t>
            </w:r>
          </w:p>
        </w:tc>
        <w:tc>
          <w:tcPr>
            <w:tcW w:w="1204"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任课教师</w:t>
            </w:r>
          </w:p>
        </w:tc>
        <w:tc>
          <w:tcPr>
            <w:tcW w:w="1440"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职称</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大学生心理健康教育</w:t>
            </w:r>
            <w:r>
              <w:rPr>
                <w:rFonts w:hint="eastAsia" w:ascii="宋体" w:hAnsi="宋体" w:eastAsia="宋体" w:cs="宋体"/>
                <w:color w:val="000000" w:themeColor="text1"/>
                <w:szCs w:val="21"/>
                <w14:textFill>
                  <w14:solidFill>
                    <w14:schemeClr w14:val="tx1"/>
                  </w14:solidFill>
                </w14:textFill>
              </w:rPr>
              <w:t>Ⅰ</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刘瑜</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大学生创新创业指导</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栾阔</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大学生就业指导课1</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吴晶伶</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大学生就业指导课2</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谢清雅</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restart"/>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公共基础</w:t>
            </w:r>
          </w:p>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必修课</w:t>
            </w:r>
          </w:p>
        </w:tc>
        <w:tc>
          <w:tcPr>
            <w:tcW w:w="295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课程名称</w:t>
            </w:r>
          </w:p>
        </w:tc>
        <w:tc>
          <w:tcPr>
            <w:tcW w:w="142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学时</w:t>
            </w:r>
          </w:p>
        </w:tc>
        <w:tc>
          <w:tcPr>
            <w:tcW w:w="1204"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任课教师</w:t>
            </w:r>
          </w:p>
        </w:tc>
        <w:tc>
          <w:tcPr>
            <w:tcW w:w="1440"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职称</w:t>
            </w:r>
          </w:p>
        </w:tc>
        <w:tc>
          <w:tcPr>
            <w:tcW w:w="1244"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思想道德修养与法律基础</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24</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胡耀东</w:t>
            </w:r>
          </w:p>
        </w:tc>
        <w:tc>
          <w:tcPr>
            <w:tcW w:w="1440" w:type="dxa"/>
            <w:vAlign w:val="center"/>
          </w:tcPr>
          <w:p>
            <w:pPr>
              <w:spacing w:line="0" w:lineRule="atLeast"/>
              <w:ind w:left="71" w:hanging="71" w:hangingChars="34"/>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马克思主义基本原理</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40</w:t>
            </w:r>
          </w:p>
        </w:tc>
        <w:tc>
          <w:tcPr>
            <w:tcW w:w="1204" w:type="dxa"/>
            <w:vAlign w:val="center"/>
          </w:tcPr>
          <w:p>
            <w:pPr>
              <w:jc w:val="center"/>
              <w:rPr>
                <w:rFonts w:ascii="Times New Roman" w:hAnsi="Times New Roman" w:cs="Times New Roman"/>
                <w:bCs/>
                <w:color w:val="000000" w:themeColor="text1"/>
                <w:szCs w:val="21"/>
                <w:highlight w:val="yellow"/>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李永</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中国近代史纲要</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jc w:val="center"/>
              <w:rPr>
                <w:rFonts w:ascii="Times New Roman" w:hAnsi="Times New Roman" w:cs="Times New Roman"/>
                <w:bCs/>
                <w:color w:val="000000" w:themeColor="text1"/>
                <w:szCs w:val="21"/>
                <w:highlight w:val="yellow"/>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周冠文</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毛泽东思想和中国特色社会主义理论体系概论</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40</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张敏</w:t>
            </w:r>
          </w:p>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闫晶</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形势与政策</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张敏</w:t>
            </w:r>
          </w:p>
        </w:tc>
        <w:tc>
          <w:tcPr>
            <w:tcW w:w="1440"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大学英语</w:t>
            </w:r>
            <w:r>
              <w:rPr>
                <w:rFonts w:hint="eastAsia" w:ascii="宋体" w:hAnsi="宋体" w:eastAsia="宋体" w:cs="宋体"/>
                <w:color w:val="000000" w:themeColor="text1"/>
                <w:szCs w:val="21"/>
                <w14:textFill>
                  <w14:solidFill>
                    <w14:schemeClr w14:val="tx1"/>
                  </w14:solidFill>
                </w14:textFill>
              </w:rPr>
              <w:t>Ⅰ</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64</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林夏</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大学英语</w:t>
            </w:r>
            <w:r>
              <w:rPr>
                <w:rFonts w:hint="eastAsia" w:ascii="宋体" w:hAnsi="宋体" w:eastAsia="宋体" w:cs="宋体"/>
                <w:color w:val="000000" w:themeColor="text1"/>
                <w:szCs w:val="21"/>
                <w14:textFill>
                  <w14:solidFill>
                    <w14:schemeClr w14:val="tx1"/>
                  </w14:solidFill>
                </w14:textFill>
              </w:rPr>
              <w:t>Ⅱ</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64</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周蕾</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大学英语</w:t>
            </w:r>
            <w:r>
              <w:rPr>
                <w:rFonts w:hint="eastAsia" w:ascii="宋体" w:hAnsi="宋体" w:eastAsia="宋体" w:cs="宋体"/>
                <w:color w:val="000000" w:themeColor="text1"/>
                <w:szCs w:val="21"/>
                <w14:textFill>
                  <w14:solidFill>
                    <w14:schemeClr w14:val="tx1"/>
                  </w14:solidFill>
                </w14:textFill>
              </w:rPr>
              <w:t>Ⅲ</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64</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陈木茵</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大学英语</w:t>
            </w:r>
            <w:r>
              <w:rPr>
                <w:rFonts w:hint="eastAsia" w:ascii="宋体" w:hAnsi="宋体" w:eastAsia="宋体" w:cs="宋体"/>
                <w:color w:val="000000" w:themeColor="text1"/>
                <w:szCs w:val="21"/>
                <w14:textFill>
                  <w14:solidFill>
                    <w14:schemeClr w14:val="tx1"/>
                  </w14:solidFill>
                </w14:textFill>
              </w:rPr>
              <w:t>Ⅳ</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陈木茵</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信息技术应用基础</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刘松梅</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体育</w:t>
            </w:r>
            <w:r>
              <w:rPr>
                <w:rFonts w:hint="eastAsia" w:ascii="宋体" w:hAnsi="宋体" w:eastAsia="宋体" w:cs="宋体"/>
                <w:color w:val="000000" w:themeColor="text1"/>
                <w:szCs w:val="21"/>
                <w14:textFill>
                  <w14:solidFill>
                    <w14:schemeClr w14:val="tx1"/>
                  </w14:solidFill>
                </w14:textFill>
              </w:rPr>
              <w:t>Ⅰ</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张建玉</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体育</w:t>
            </w:r>
            <w:r>
              <w:rPr>
                <w:rFonts w:hint="eastAsia" w:ascii="宋体" w:hAnsi="宋体" w:eastAsia="宋体" w:cs="宋体"/>
                <w:color w:val="000000" w:themeColor="text1"/>
                <w:szCs w:val="21"/>
                <w14:textFill>
                  <w14:solidFill>
                    <w14:schemeClr w14:val="tx1"/>
                  </w14:solidFill>
                </w14:textFill>
              </w:rPr>
              <w:t>Ⅱ</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唐静萍</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体育</w:t>
            </w:r>
            <w:r>
              <w:rPr>
                <w:rFonts w:hint="eastAsia" w:ascii="宋体" w:hAnsi="宋体" w:eastAsia="宋体" w:cs="宋体"/>
                <w:color w:val="000000" w:themeColor="text1"/>
                <w:szCs w:val="21"/>
                <w14:textFill>
                  <w14:solidFill>
                    <w14:schemeClr w14:val="tx1"/>
                  </w14:solidFill>
                </w14:textFill>
              </w:rPr>
              <w:t>Ⅲ</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jc w:val="center"/>
              <w:rPr>
                <w:rFonts w:ascii="Times New Roman" w:hAnsi="Times New Roman" w:cs="Times New Roman"/>
                <w:bCs/>
                <w:color w:val="000000" w:themeColor="text1"/>
                <w:szCs w:val="21"/>
                <w:highlight w:val="yellow"/>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孔祥龙</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体育</w:t>
            </w:r>
            <w:r>
              <w:rPr>
                <w:rFonts w:hint="eastAsia" w:ascii="宋体" w:hAnsi="宋体" w:eastAsia="宋体" w:cs="宋体"/>
                <w:color w:val="000000" w:themeColor="text1"/>
                <w:szCs w:val="21"/>
                <w14:textFill>
                  <w14:solidFill>
                    <w14:schemeClr w14:val="tx1"/>
                  </w14:solidFill>
                </w14:textFill>
              </w:rPr>
              <w:t>Ⅳ</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jc w:val="center"/>
              <w:rPr>
                <w:rFonts w:ascii="Times New Roman" w:hAnsi="Times New Roman" w:cs="Times New Roman"/>
                <w:bCs/>
                <w:color w:val="000000" w:themeColor="text1"/>
                <w:szCs w:val="21"/>
                <w:highlight w:val="yellow"/>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张建玉</w:t>
            </w:r>
          </w:p>
        </w:tc>
        <w:tc>
          <w:tcPr>
            <w:tcW w:w="1440"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高等数学</w:t>
            </w:r>
            <w:r>
              <w:rPr>
                <w:rFonts w:hint="eastAsia" w:ascii="宋体" w:hAnsi="宋体" w:eastAsia="宋体" w:cs="宋体"/>
                <w:color w:val="000000" w:themeColor="text1"/>
                <w:szCs w:val="21"/>
                <w14:textFill>
                  <w14:solidFill>
                    <w14:schemeClr w14:val="tx1"/>
                  </w14:solidFill>
                </w14:textFill>
              </w:rPr>
              <w:t>Ⅰ</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80</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吴辅山</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高等数学</w:t>
            </w:r>
            <w:r>
              <w:rPr>
                <w:rFonts w:hint="eastAsia" w:ascii="宋体" w:hAnsi="宋体" w:eastAsia="宋体" w:cs="宋体"/>
                <w:color w:val="000000" w:themeColor="text1"/>
                <w:szCs w:val="21"/>
                <w14:textFill>
                  <w14:solidFill>
                    <w14:schemeClr w14:val="tx1"/>
                  </w14:solidFill>
                </w14:textFill>
              </w:rPr>
              <w:t>Ⅱ</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96</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吴辅山</w:t>
            </w:r>
          </w:p>
        </w:tc>
        <w:tc>
          <w:tcPr>
            <w:tcW w:w="1440"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线性代数</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徐国静</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概率论与数理统计</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徐国静</w:t>
            </w:r>
          </w:p>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朱红宝</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大学物理</w:t>
            </w:r>
            <w:r>
              <w:rPr>
                <w:rFonts w:hint="eastAsia" w:ascii="宋体" w:hAnsi="宋体" w:eastAsia="宋体" w:cs="宋体"/>
                <w:color w:val="000000" w:themeColor="text1"/>
                <w:szCs w:val="21"/>
                <w14:textFill>
                  <w14:solidFill>
                    <w14:schemeClr w14:val="tx1"/>
                  </w14:solidFill>
                </w14:textFill>
              </w:rPr>
              <w:t>Ⅰ</w:t>
            </w:r>
            <w:r>
              <w:rPr>
                <w:rFonts w:ascii="Times New Roman" w:hAnsi="Times New Roman" w:cs="Times New Roman"/>
                <w:color w:val="000000" w:themeColor="text1"/>
                <w:szCs w:val="21"/>
                <w14:textFill>
                  <w14:solidFill>
                    <w14:schemeClr w14:val="tx1"/>
                  </w14:solidFill>
                </w14:textFill>
              </w:rPr>
              <w:t>（机械能动类）</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王春霞</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大学物理II（机械能动类）</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刘琳</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restart"/>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公共基础</w:t>
            </w:r>
          </w:p>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选修课</w:t>
            </w:r>
          </w:p>
        </w:tc>
        <w:tc>
          <w:tcPr>
            <w:tcW w:w="295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课程名称</w:t>
            </w:r>
          </w:p>
        </w:tc>
        <w:tc>
          <w:tcPr>
            <w:tcW w:w="142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学时</w:t>
            </w:r>
          </w:p>
        </w:tc>
        <w:tc>
          <w:tcPr>
            <w:tcW w:w="1204"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任课教师</w:t>
            </w:r>
          </w:p>
        </w:tc>
        <w:tc>
          <w:tcPr>
            <w:tcW w:w="1440"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职称</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大学生心理健康教育</w:t>
            </w:r>
            <w:r>
              <w:rPr>
                <w:rFonts w:hint="eastAsia" w:ascii="宋体" w:hAnsi="宋体" w:eastAsia="宋体" w:cs="宋体"/>
                <w:color w:val="000000" w:themeColor="text1"/>
                <w:szCs w:val="21"/>
                <w14:textFill>
                  <w14:solidFill>
                    <w14:schemeClr w14:val="tx1"/>
                  </w14:solidFill>
                </w14:textFill>
              </w:rPr>
              <w:t>Ⅰ</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刘瑜</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大学生创新创业指导</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栾阔</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大学生就业指导课1</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吴晶伶</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大学生就业指导课2</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谢清雅</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restart"/>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专业基础</w:t>
            </w:r>
          </w:p>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必修课</w:t>
            </w: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机械制图</w:t>
            </w:r>
            <w:r>
              <w:rPr>
                <w:rFonts w:hint="eastAsia" w:ascii="宋体" w:hAnsi="宋体" w:eastAsia="宋体" w:cs="宋体"/>
                <w:color w:val="000000" w:themeColor="text1"/>
                <w:szCs w:val="21"/>
                <w14:textFill>
                  <w14:solidFill>
                    <w14:schemeClr w14:val="tx1"/>
                  </w14:solidFill>
                </w14:textFill>
              </w:rPr>
              <w:t>Ⅰ</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64</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姜萍</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计算机绘图（CAD及Pro/E)</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钱爱文</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曹林宁</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C语言程序设计</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梁晓玲</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工程力学</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64</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袁雪莲</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汽车工程材料</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黄昭明</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电路</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孟倩文</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单片机原理与应用</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王仲夏</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机械设计基础</w:t>
            </w:r>
            <w:r>
              <w:rPr>
                <w:rFonts w:ascii="Times New Roman" w:hAnsi="Times New Roman" w:cs="Times New Roman"/>
                <w:b/>
                <w:color w:val="000000" w:themeColor="text1"/>
                <w:kern w:val="0"/>
                <w:szCs w:val="21"/>
                <w14:textFill>
                  <w14:solidFill>
                    <w14:schemeClr w14:val="tx1"/>
                  </w14:solidFill>
                </w14:textFill>
              </w:rPr>
              <w:t>▲</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陈田</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王付远</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电子技术基础</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纪萍</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互换性与测量技术</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赵妞</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液压与气动技术</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赵妞</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restart"/>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专业教育</w:t>
            </w:r>
          </w:p>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必修课</w:t>
            </w:r>
          </w:p>
        </w:tc>
        <w:tc>
          <w:tcPr>
            <w:tcW w:w="295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课程名称</w:t>
            </w:r>
          </w:p>
        </w:tc>
        <w:tc>
          <w:tcPr>
            <w:tcW w:w="142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学时</w:t>
            </w:r>
          </w:p>
        </w:tc>
        <w:tc>
          <w:tcPr>
            <w:tcW w:w="1204" w:type="dxa"/>
            <w:vAlign w:val="center"/>
          </w:tcPr>
          <w:p>
            <w:pPr>
              <w:spacing w:line="0" w:lineRule="atLeast"/>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任课教师</w:t>
            </w:r>
          </w:p>
        </w:tc>
        <w:tc>
          <w:tcPr>
            <w:tcW w:w="1440" w:type="dxa"/>
            <w:vAlign w:val="center"/>
          </w:tcPr>
          <w:p>
            <w:pPr>
              <w:spacing w:line="0" w:lineRule="atLeast"/>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职称</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汽车构造</w:t>
            </w:r>
            <w:r>
              <w:rPr>
                <w:rFonts w:ascii="Times New Roman" w:hAnsi="Times New Roman" w:cs="Times New Roman"/>
                <w:b/>
                <w:color w:val="000000" w:themeColor="text1"/>
                <w:kern w:val="0"/>
                <w:szCs w:val="21"/>
                <w14:textFill>
                  <w14:solidFill>
                    <w14:schemeClr w14:val="tx1"/>
                  </w14:solidFill>
                </w14:textFill>
              </w:rPr>
              <w:t>▲</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64</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黄昭明</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任龙军</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ind w:left="105" w:hanging="105" w:hangingChars="5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汽车保险与理赔</w:t>
            </w:r>
            <w:r>
              <w:rPr>
                <w:rFonts w:ascii="Times New Roman" w:hAnsi="Times New Roman" w:cs="Times New Roman"/>
                <w:b/>
                <w:color w:val="000000" w:themeColor="text1"/>
                <w:kern w:val="0"/>
                <w:szCs w:val="21"/>
                <w14:textFill>
                  <w14:solidFill>
                    <w14:schemeClr w14:val="tx1"/>
                  </w14:solidFill>
                </w14:textFill>
              </w:rPr>
              <w:t>▲</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赵妞</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丁春梅</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汽车营销学</w:t>
            </w:r>
            <w:r>
              <w:rPr>
                <w:rFonts w:ascii="Times New Roman" w:hAnsi="Times New Roman" w:cs="Times New Roman"/>
                <w:b/>
                <w:color w:val="000000" w:themeColor="text1"/>
                <w:kern w:val="0"/>
                <w:szCs w:val="21"/>
                <w14:textFill>
                  <w14:solidFill>
                    <w14:schemeClr w14:val="tx1"/>
                  </w14:solidFill>
                </w14:textFill>
              </w:rPr>
              <w:t>▲</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梁晓玲</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王付远</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汽车检测与诊断技术</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黄昭明</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汽车发动机电子控制技术</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赵妞</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1134" w:type="dxa"/>
            <w:vMerge w:val="restart"/>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专业教育</w:t>
            </w:r>
          </w:p>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选修课</w:t>
            </w:r>
          </w:p>
        </w:tc>
        <w:tc>
          <w:tcPr>
            <w:tcW w:w="295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课程名称</w:t>
            </w:r>
          </w:p>
        </w:tc>
        <w:tc>
          <w:tcPr>
            <w:tcW w:w="142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学时</w:t>
            </w:r>
          </w:p>
        </w:tc>
        <w:tc>
          <w:tcPr>
            <w:tcW w:w="1204" w:type="dxa"/>
            <w:vAlign w:val="center"/>
          </w:tcPr>
          <w:p>
            <w:pPr>
              <w:spacing w:line="0" w:lineRule="atLeast"/>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任课教师</w:t>
            </w:r>
          </w:p>
        </w:tc>
        <w:tc>
          <w:tcPr>
            <w:tcW w:w="1440" w:type="dxa"/>
            <w:vAlign w:val="center"/>
          </w:tcPr>
          <w:p>
            <w:pPr>
              <w:spacing w:line="0" w:lineRule="atLeast"/>
              <w:jc w:val="center"/>
              <w:rPr>
                <w:rFonts w:ascii="Times New Roman" w:hAnsi="Times New Roman"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职称</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汽车概论</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黄昭明</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黄柳丽</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ind w:left="105" w:hanging="105" w:hangingChars="5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汽车服务企业管理</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兰孝奇</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黄柳丽</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tcBorders>
              <w:bottom w:val="single" w:color="auto" w:sz="4" w:space="0"/>
            </w:tcBorders>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汽车专业英语</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陶兆胜</w:t>
            </w:r>
          </w:p>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丁春梅</w:t>
            </w:r>
          </w:p>
        </w:tc>
        <w:tc>
          <w:tcPr>
            <w:tcW w:w="1440" w:type="dxa"/>
            <w:vAlign w:val="center"/>
          </w:tcPr>
          <w:p>
            <w:pPr>
              <w:spacing w:line="0" w:lineRule="atLeast"/>
              <w:ind w:firstLine="210" w:firstLineChars="100"/>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tcBorders>
              <w:right w:val="single" w:color="auto" w:sz="4" w:space="0"/>
            </w:tcBorders>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传感器及检测技术</w:t>
            </w:r>
          </w:p>
        </w:tc>
        <w:tc>
          <w:tcPr>
            <w:tcW w:w="1423" w:type="dxa"/>
            <w:tcBorders>
              <w:left w:val="single" w:color="auto" w:sz="4" w:space="0"/>
            </w:tcBorders>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王仲夏</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tcBorders>
              <w:right w:val="single" w:color="auto" w:sz="4" w:space="0"/>
            </w:tcBorders>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汽车设计</w:t>
            </w:r>
          </w:p>
        </w:tc>
        <w:tc>
          <w:tcPr>
            <w:tcW w:w="1423" w:type="dxa"/>
            <w:tcBorders>
              <w:left w:val="single" w:color="auto" w:sz="4" w:space="0"/>
            </w:tcBorders>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黄昭明</w:t>
            </w:r>
          </w:p>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任龙军</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tcBorders>
              <w:top w:val="single" w:color="auto" w:sz="4" w:space="0"/>
            </w:tcBorders>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汽车CAD技术</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仝基斌</w:t>
            </w:r>
          </w:p>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王付远</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80" w:firstLineChars="200"/>
              <w:rPr>
                <w:rFonts w:ascii="Times New Roman" w:hAnsi="Times New Roman" w:cs="Times New Roman"/>
                <w:color w:val="000000" w:themeColor="text1"/>
                <w:sz w:val="24"/>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计算机控制技术</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郎佳红</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80" w:firstLineChars="200"/>
              <w:rPr>
                <w:rFonts w:ascii="Times New Roman" w:hAnsi="Times New Roman" w:cs="Times New Roman"/>
                <w:color w:val="000000" w:themeColor="text1"/>
                <w:sz w:val="24"/>
                <w14:textFill>
                  <w14:solidFill>
                    <w14:schemeClr w14:val="tx1"/>
                  </w14:solidFill>
                </w14:textFill>
              </w:rPr>
            </w:pPr>
          </w:p>
        </w:tc>
        <w:tc>
          <w:tcPr>
            <w:tcW w:w="2953" w:type="dxa"/>
            <w:vAlign w:val="center"/>
          </w:tcPr>
          <w:p>
            <w:pPr>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汽车覆盖件模具设计</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48</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黄照明</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80" w:firstLineChars="200"/>
              <w:rPr>
                <w:rFonts w:ascii="Times New Roman" w:hAnsi="Times New Roman" w:cs="Times New Roman"/>
                <w:color w:val="000000" w:themeColor="text1"/>
                <w:sz w:val="24"/>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科技应用文写作概论</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24</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徐靖</w:t>
            </w:r>
          </w:p>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任龙军</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助教</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80" w:firstLineChars="200"/>
              <w:rPr>
                <w:rFonts w:ascii="Times New Roman" w:hAnsi="Times New Roman" w:cs="Times New Roman"/>
                <w:color w:val="000000" w:themeColor="text1"/>
                <w:sz w:val="24"/>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数字资源检索与利用</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栾阔</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restart"/>
            <w:vAlign w:val="center"/>
          </w:tcPr>
          <w:p>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实验课、实习课（集中实践教学课）</w:t>
            </w:r>
          </w:p>
        </w:tc>
        <w:tc>
          <w:tcPr>
            <w:tcW w:w="295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课程名称</w:t>
            </w:r>
          </w:p>
        </w:tc>
        <w:tc>
          <w:tcPr>
            <w:tcW w:w="1423"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学时（周）</w:t>
            </w:r>
          </w:p>
        </w:tc>
        <w:tc>
          <w:tcPr>
            <w:tcW w:w="1204"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任课教师</w:t>
            </w:r>
          </w:p>
        </w:tc>
        <w:tc>
          <w:tcPr>
            <w:tcW w:w="1440"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职称</w:t>
            </w:r>
          </w:p>
        </w:tc>
        <w:tc>
          <w:tcPr>
            <w:tcW w:w="1244" w:type="dxa"/>
            <w:vAlign w:val="center"/>
          </w:tcPr>
          <w:p>
            <w:pPr>
              <w:spacing w:line="0" w:lineRule="atLeast"/>
              <w:jc w:val="cente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ind w:left="105" w:hanging="105" w:hangingChars="50"/>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思想道德修养与法律基础实践</w:t>
            </w:r>
          </w:p>
        </w:tc>
        <w:tc>
          <w:tcPr>
            <w:tcW w:w="1423" w:type="dxa"/>
            <w:vAlign w:val="center"/>
          </w:tcPr>
          <w:p>
            <w:pPr>
              <w:spacing w:line="0" w:lineRule="atLeast"/>
              <w:ind w:left="105" w:hanging="105" w:hangingChars="5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24</w:t>
            </w:r>
          </w:p>
        </w:tc>
        <w:tc>
          <w:tcPr>
            <w:tcW w:w="1204" w:type="dxa"/>
            <w:vAlign w:val="center"/>
          </w:tcPr>
          <w:p>
            <w:pPr>
              <w:spacing w:line="0" w:lineRule="atLeast"/>
              <w:ind w:left="105" w:hanging="105" w:hangingChars="5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韦晨珺娃</w:t>
            </w:r>
          </w:p>
        </w:tc>
        <w:tc>
          <w:tcPr>
            <w:tcW w:w="1440" w:type="dxa"/>
            <w:vAlign w:val="center"/>
          </w:tcPr>
          <w:p>
            <w:pPr>
              <w:spacing w:line="0" w:lineRule="atLeast"/>
              <w:ind w:left="105" w:hanging="105" w:hangingChars="5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ind w:left="105" w:hanging="105" w:hangingChars="5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ind w:left="105" w:hanging="105" w:hangingChars="50"/>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马克思主义基本原理实践</w:t>
            </w:r>
          </w:p>
        </w:tc>
        <w:tc>
          <w:tcPr>
            <w:tcW w:w="1423" w:type="dxa"/>
            <w:vAlign w:val="center"/>
          </w:tcPr>
          <w:p>
            <w:pPr>
              <w:spacing w:line="0" w:lineRule="atLeast"/>
              <w:ind w:left="105" w:hanging="105" w:hangingChars="5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24</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韦晨珺娃</w:t>
            </w:r>
          </w:p>
        </w:tc>
        <w:tc>
          <w:tcPr>
            <w:tcW w:w="1440"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ind w:left="105" w:hanging="105" w:hangingChars="50"/>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中国近代史纲要实践</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姚文美</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毛泽东思想和中国特色社会理论体系概论实践</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24</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姚文美</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形势与政策实践</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ind w:left="-61" w:leftChars="-2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张敏</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军事训练</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1周</w:t>
            </w:r>
          </w:p>
        </w:tc>
        <w:tc>
          <w:tcPr>
            <w:tcW w:w="1204" w:type="dxa"/>
            <w:vAlign w:val="center"/>
          </w:tcPr>
          <w:p>
            <w:pPr>
              <w:spacing w:line="0" w:lineRule="atLeast"/>
              <w:ind w:left="-61" w:leftChars="-2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w:t>
            </w:r>
          </w:p>
        </w:tc>
        <w:tc>
          <w:tcPr>
            <w:tcW w:w="1440"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信息技术应用实践</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ind w:left="-61" w:leftChars="-29"/>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刘松梅</w:t>
            </w:r>
          </w:p>
        </w:tc>
        <w:tc>
          <w:tcPr>
            <w:tcW w:w="1440"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C程序设计实践</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梁晓玲</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物理实验（机械能动类）</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24</w:t>
            </w:r>
          </w:p>
        </w:tc>
        <w:tc>
          <w:tcPr>
            <w:tcW w:w="120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韩财宝</w:t>
            </w:r>
          </w:p>
        </w:tc>
        <w:tc>
          <w:tcPr>
            <w:tcW w:w="1440"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adjustRightInd w:val="0"/>
              <w:snapToGrid w:val="0"/>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电路实验</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24</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纪萍</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电子技术实验</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8</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纪萍</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adjustRightInd w:val="0"/>
              <w:snapToGrid w:val="0"/>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机械设计课程设计</w:t>
            </w:r>
            <w:r>
              <w:rPr>
                <w:rFonts w:ascii="Times New Roman" w:hAnsi="Times New Roman" w:cs="Times New Roman"/>
                <w:b/>
                <w:color w:val="000000" w:themeColor="text1"/>
                <w:szCs w:val="21"/>
                <w14:textFill>
                  <w14:solidFill>
                    <w14:schemeClr w14:val="tx1"/>
                  </w14:solidFill>
                </w14:textFill>
              </w:rPr>
              <w:t>*</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2周</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陈田</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adjustRightInd w:val="0"/>
              <w:snapToGrid w:val="0"/>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金工实习</w:t>
            </w:r>
            <w:r>
              <w:rPr>
                <w:rFonts w:ascii="Times New Roman" w:hAnsi="Times New Roman" w:cs="Times New Roman"/>
                <w:b/>
                <w:color w:val="000000" w:themeColor="text1"/>
                <w:szCs w:val="21"/>
                <w14:textFill>
                  <w14:solidFill>
                    <w14:schemeClr w14:val="tx1"/>
                  </w14:solidFill>
                </w14:textFill>
              </w:rPr>
              <w:t>*</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2周</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陈田</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讲师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adjustRightInd w:val="0"/>
              <w:snapToGrid w:val="0"/>
              <w:spacing w:line="0" w:lineRule="atLeast"/>
              <w:jc w:val="lef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微机与单片机综合实践</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王仲夏</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adjustRightInd w:val="0"/>
              <w:snapToGrid w:val="0"/>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可编程控制器课程设计</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陶兆胜</w:t>
            </w:r>
          </w:p>
        </w:tc>
        <w:tc>
          <w:tcPr>
            <w:tcW w:w="1440"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adjustRightInd w:val="0"/>
              <w:snapToGrid w:val="0"/>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CAD/CAM实践</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32</w:t>
            </w:r>
          </w:p>
        </w:tc>
        <w:tc>
          <w:tcPr>
            <w:tcW w:w="1204" w:type="dxa"/>
            <w:vAlign w:val="center"/>
          </w:tcPr>
          <w:p>
            <w:pPr>
              <w:spacing w:line="0" w:lineRule="atLeast"/>
              <w:ind w:firstLine="210" w:firstLineChars="100"/>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黄昭明</w:t>
            </w:r>
          </w:p>
        </w:tc>
        <w:tc>
          <w:tcPr>
            <w:tcW w:w="1440"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adjustRightInd w:val="0"/>
              <w:snapToGrid w:val="0"/>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汽车拆装和驾驶实习</w:t>
            </w:r>
            <w:r>
              <w:rPr>
                <w:rFonts w:ascii="Times New Roman" w:hAnsi="Times New Roman" w:cs="Times New Roman"/>
                <w:b/>
                <w:color w:val="000000" w:themeColor="text1"/>
                <w:szCs w:val="21"/>
                <w14:textFill>
                  <w14:solidFill>
                    <w14:schemeClr w14:val="tx1"/>
                  </w14:solidFill>
                </w14:textFill>
              </w:rPr>
              <w:t>*</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2周</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黄昭明</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adjustRightInd w:val="0"/>
              <w:snapToGrid w:val="0"/>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汽车维护与检测实践</w:t>
            </w:r>
            <w:r>
              <w:rPr>
                <w:rFonts w:ascii="Times New Roman" w:hAnsi="Times New Roman" w:cs="Times New Roman"/>
                <w:b/>
                <w:color w:val="000000" w:themeColor="text1"/>
                <w:szCs w:val="21"/>
                <w14:textFill>
                  <w14:solidFill>
                    <w14:schemeClr w14:val="tx1"/>
                  </w14:solidFill>
                </w14:textFill>
              </w:rPr>
              <w:t>*</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2周</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黄照明</w:t>
            </w:r>
          </w:p>
        </w:tc>
        <w:tc>
          <w:tcPr>
            <w:tcW w:w="1440"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34" w:type="dxa"/>
            <w:vMerge w:val="continue"/>
            <w:vAlign w:val="center"/>
          </w:tcPr>
          <w:p>
            <w:pPr>
              <w:ind w:firstLine="420" w:firstLineChars="200"/>
              <w:rPr>
                <w:rFonts w:ascii="Times New Roman" w:hAnsi="Times New Roman" w:cs="Times New Roman"/>
                <w:color w:val="000000" w:themeColor="text1"/>
                <w:szCs w:val="21"/>
                <w14:textFill>
                  <w14:solidFill>
                    <w14:schemeClr w14:val="tx1"/>
                  </w14:solidFill>
                </w14:textFill>
              </w:rPr>
            </w:pPr>
          </w:p>
        </w:tc>
        <w:tc>
          <w:tcPr>
            <w:tcW w:w="2953" w:type="dxa"/>
            <w:vAlign w:val="center"/>
          </w:tcPr>
          <w:p>
            <w:pPr>
              <w:adjustRightInd w:val="0"/>
              <w:snapToGrid w:val="0"/>
              <w:spacing w:line="0" w:lineRule="atLeast"/>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汽车电器及电控技术实习</w:t>
            </w:r>
            <w:r>
              <w:rPr>
                <w:rFonts w:ascii="Times New Roman" w:hAnsi="Times New Roman" w:cs="Times New Roman"/>
                <w:b/>
                <w:color w:val="000000" w:themeColor="text1"/>
                <w:szCs w:val="21"/>
                <w14:textFill>
                  <w14:solidFill>
                    <w14:schemeClr w14:val="tx1"/>
                  </w14:solidFill>
                </w14:textFill>
              </w:rPr>
              <w:t>*</w:t>
            </w:r>
          </w:p>
        </w:tc>
        <w:tc>
          <w:tcPr>
            <w:tcW w:w="1423"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2周</w:t>
            </w:r>
          </w:p>
        </w:tc>
        <w:tc>
          <w:tcPr>
            <w:tcW w:w="1204"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bCs/>
                <w:color w:val="000000" w:themeColor="text1"/>
                <w:szCs w:val="21"/>
                <w14:textFill>
                  <w14:solidFill>
                    <w14:schemeClr w14:val="tx1"/>
                  </w14:solidFill>
                </w14:textFill>
              </w:rPr>
              <w:t>赵妞</w:t>
            </w:r>
          </w:p>
        </w:tc>
        <w:tc>
          <w:tcPr>
            <w:tcW w:w="1440" w:type="dxa"/>
            <w:vAlign w:val="center"/>
          </w:tcPr>
          <w:p>
            <w:pPr>
              <w:spacing w:line="0" w:lineRule="atLeast"/>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副教授</w:t>
            </w:r>
          </w:p>
        </w:tc>
        <w:tc>
          <w:tcPr>
            <w:tcW w:w="1244" w:type="dxa"/>
            <w:vAlign w:val="center"/>
          </w:tcPr>
          <w:p>
            <w:pPr>
              <w:spacing w:line="0" w:lineRule="atLeast"/>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是</w:t>
            </w:r>
          </w:p>
        </w:tc>
      </w:tr>
    </w:tbl>
    <w:p>
      <w:pPr>
        <w:spacing w:line="360" w:lineRule="auto"/>
        <w:ind w:firstLine="422" w:firstLineChars="200"/>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kern w:val="0"/>
          <w:szCs w:val="21"/>
          <w14:textFill>
            <w14:solidFill>
              <w14:schemeClr w14:val="tx1"/>
            </w14:solidFill>
          </w14:textFill>
        </w:rPr>
        <w:t>▲</w:t>
      </w:r>
      <w:r>
        <w:rPr>
          <w:rFonts w:ascii="Times New Roman" w:hAnsi="Times New Roman" w:cs="Times New Roman"/>
          <w:color w:val="000000" w:themeColor="text1"/>
          <w:kern w:val="0"/>
          <w:szCs w:val="21"/>
          <w14:textFill>
            <w14:solidFill>
              <w14:schemeClr w14:val="tx1"/>
            </w14:solidFill>
          </w14:textFill>
        </w:rPr>
        <w:t>专业核心课程</w:t>
      </w:r>
      <w:r>
        <w:rPr>
          <w:rFonts w:ascii="Times New Roman" w:hAnsi="Times New Roman" w:cs="Times New Roman"/>
          <w:b/>
          <w:color w:val="000000" w:themeColor="text1"/>
          <w:szCs w:val="21"/>
          <w14:textFill>
            <w14:solidFill>
              <w14:schemeClr w14:val="tx1"/>
            </w14:solidFill>
          </w14:textFill>
        </w:rPr>
        <w:t>*</w:t>
      </w:r>
      <w:r>
        <w:rPr>
          <w:rFonts w:ascii="Times New Roman" w:hAnsi="Times New Roman" w:cs="Times New Roman"/>
          <w:color w:val="000000" w:themeColor="text1"/>
          <w:szCs w:val="21"/>
          <w14:textFill>
            <w14:solidFill>
              <w14:schemeClr w14:val="tx1"/>
            </w14:solidFill>
          </w14:textFill>
        </w:rPr>
        <w:t>综合性设计性实验/设计</w:t>
      </w:r>
    </w:p>
    <w:p>
      <w:pPr>
        <w:spacing w:line="360" w:lineRule="auto"/>
        <w:ind w:firstLine="482" w:firstLineChars="200"/>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4.2教材建设</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皖江工学院建立自己的教材库-《皖江工学院教材库》。</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教材选用原则和标准：</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1.选用教材须从《皖江工学院教材库》中选择。</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2.属于马克思主义理论研究和建设工程重点编写的教材必须选用；对国家规划教材、国家及省部级获奖优秀教材及经上级机关审定引进的国外优秀教材，优先选用。</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3.各专业应优先选用近三年出版的教育部面向21世纪课程教材、国家规划教材和各教学指导委员会推荐的教材，主编教材的出版社应为国家级出版社。各二级学院（部）上述各类教材的综合选用比例须达到50%。</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4.如无符合上述两类标准教材的，则应优先选用其他高校公认共选的高质量的近三年公开出版的教材，特别是公共基础课程，原则上不采用非教指委制定的教材。各二级学院（部）选用近三年公开出版教材比例须达75%。</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5.主干课程使用教育部推荐的优秀教材或十三五规划教材。</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6.汽车服务工程专业重视专业应用类教材建设，鼓励教师积极编写教材和实验实践指导书。</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根据本专业培养方案和实施情况，已经完成汽车专业英语、汽车覆盖件模具设计优秀教材，计划在未来3~5年内，在汽车保险与理赔、汽车服务企业管理、汽车概论等课程中，组织专业教师自主编写1-2本以应用定位的特色教材。</w:t>
      </w:r>
    </w:p>
    <w:p>
      <w:pPr>
        <w:spacing w:line="360" w:lineRule="auto"/>
        <w:ind w:firstLine="482" w:firstLineChars="200"/>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4.3教学研究与改革</w:t>
      </w:r>
    </w:p>
    <w:p>
      <w:pPr>
        <w:spacing w:line="360" w:lineRule="auto"/>
        <w:ind w:firstLine="480" w:firstLineChars="200"/>
        <w:rPr>
          <w:rFonts w:ascii="Times New Roman" w:hAnsi="Times New Roman" w:cs="Times New Roman"/>
          <w:color w:val="000000" w:themeColor="text1"/>
          <w:sz w:val="24"/>
          <w:szCs w:val="24"/>
          <w:lang w:bidi="ar"/>
          <w14:textFill>
            <w14:solidFill>
              <w14:schemeClr w14:val="tx1"/>
            </w14:solidFill>
          </w14:textFill>
        </w:rPr>
      </w:pPr>
      <w:r>
        <w:rPr>
          <w:rFonts w:ascii="Times New Roman" w:hAnsi="Times New Roman" w:cs="Times New Roman"/>
          <w:color w:val="000000" w:themeColor="text1"/>
          <w:sz w:val="24"/>
          <w:szCs w:val="24"/>
          <w:lang w:bidi="ar"/>
          <w14:textFill>
            <w14:solidFill>
              <w14:schemeClr w14:val="tx1"/>
            </w14:solidFill>
          </w14:textFill>
        </w:rPr>
        <w:t>为了保障人才培养目标的实现，培养出高素质的专业的应用型人才，本专业积极组织、鼓励教师参与到教育理论及管理手段的改革、教学管理制度的改革、课程体系的改革与创新人才的培养、教学方法的改革等各项教学研究中去。进行教学研究能够从一个侧面反映出一位教师的基本表达能力和教学水平，进而反映其教研水平。通过教学研究，可以架起课程理念和教育理论转化为教学行为的桥梁，促进先进教学经验的提炼和传播，促进教师的专业发展和改进教学。近三年本专业教师主持或参加校级以上教学研究项目12项，其中主要参与国家级项目1项，主持省（部）级及以上教学研究项目8项，校级项目4项，共计结题8项。详见表12。</w:t>
      </w:r>
    </w:p>
    <w:p>
      <w:pPr>
        <w:spacing w:line="360" w:lineRule="auto"/>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表12 近三年本专业教师主持或参加校级以上教学研究项目一览表</w:t>
      </w:r>
    </w:p>
    <w:tbl>
      <w:tblPr>
        <w:tblStyle w:val="4"/>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4900"/>
        <w:gridCol w:w="1354"/>
        <w:gridCol w:w="891"/>
        <w:gridCol w:w="1069"/>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ind w:left="-48" w:leftChars="-23" w:right="-103" w:rightChars="-49"/>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序号</w:t>
            </w:r>
          </w:p>
        </w:tc>
        <w:tc>
          <w:tcPr>
            <w:tcW w:w="4900" w:type="dxa"/>
            <w:shd w:val="clear" w:color="auto" w:fill="auto"/>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项目名称</w:t>
            </w:r>
          </w:p>
        </w:tc>
        <w:tc>
          <w:tcPr>
            <w:tcW w:w="1354" w:type="dxa"/>
            <w:shd w:val="clear" w:color="auto" w:fill="auto"/>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研究时间</w:t>
            </w:r>
          </w:p>
        </w:tc>
        <w:tc>
          <w:tcPr>
            <w:tcW w:w="891" w:type="dxa"/>
            <w:shd w:val="clear" w:color="auto" w:fill="auto"/>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级别</w:t>
            </w:r>
          </w:p>
        </w:tc>
        <w:tc>
          <w:tcPr>
            <w:tcW w:w="1069" w:type="dxa"/>
            <w:shd w:val="clear" w:color="auto" w:fill="auto"/>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主持人</w:t>
            </w:r>
          </w:p>
        </w:tc>
        <w:tc>
          <w:tcPr>
            <w:tcW w:w="741" w:type="dxa"/>
            <w:shd w:val="clear" w:color="auto" w:fill="auto"/>
            <w:vAlign w:val="center"/>
          </w:tcPr>
          <w:p>
            <w:pPr>
              <w:spacing w:line="360" w:lineRule="auto"/>
              <w:jc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1</w:t>
            </w:r>
          </w:p>
        </w:tc>
        <w:tc>
          <w:tcPr>
            <w:tcW w:w="4900"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应用型本科能源与机械类专业群建设研究</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2017-2019</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省级</w:t>
            </w:r>
          </w:p>
        </w:tc>
        <w:tc>
          <w:tcPr>
            <w:tcW w:w="1069" w:type="dxa"/>
            <w:shd w:val="clear" w:color="auto" w:fill="auto"/>
            <w:vAlign w:val="center"/>
          </w:tcPr>
          <w:p>
            <w:pPr>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黄昭明</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w:t>
            </w:r>
          </w:p>
        </w:tc>
        <w:tc>
          <w:tcPr>
            <w:tcW w:w="4900"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《汽车专业英语》规划教材</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2018-2019</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省级</w:t>
            </w:r>
          </w:p>
        </w:tc>
        <w:tc>
          <w:tcPr>
            <w:tcW w:w="1069"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王良模</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3</w:t>
            </w:r>
          </w:p>
        </w:tc>
        <w:tc>
          <w:tcPr>
            <w:tcW w:w="4900"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省级教坛新秀</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2018-2019</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省级</w:t>
            </w:r>
          </w:p>
        </w:tc>
        <w:tc>
          <w:tcPr>
            <w:tcW w:w="1069"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黄昭明</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4</w:t>
            </w:r>
          </w:p>
        </w:tc>
        <w:tc>
          <w:tcPr>
            <w:tcW w:w="4900" w:type="dxa"/>
            <w:shd w:val="clear" w:color="auto" w:fill="auto"/>
            <w:vAlign w:val="center"/>
          </w:tcPr>
          <w:p>
            <w:pPr>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河海大学文天学院安徽东海机床制造有限公司实践教育基地</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2017-2019</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省级</w:t>
            </w:r>
          </w:p>
        </w:tc>
        <w:tc>
          <w:tcPr>
            <w:tcW w:w="1069"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张冬冬</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5</w:t>
            </w:r>
          </w:p>
        </w:tc>
        <w:tc>
          <w:tcPr>
            <w:tcW w:w="4900"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省级模具设计教学团队</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2019-2021</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省级</w:t>
            </w:r>
          </w:p>
        </w:tc>
        <w:tc>
          <w:tcPr>
            <w:tcW w:w="1069"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王良模</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在研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6</w:t>
            </w:r>
          </w:p>
        </w:tc>
        <w:tc>
          <w:tcPr>
            <w:tcW w:w="4900" w:type="dxa"/>
            <w:shd w:val="clear" w:color="auto" w:fill="auto"/>
            <w:vAlign w:val="center"/>
          </w:tcPr>
          <w:p>
            <w:pPr>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基于卓越工程师教育的汽车电器教学模式供给侧结构性改革</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2019-2021</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省级</w:t>
            </w:r>
          </w:p>
        </w:tc>
        <w:tc>
          <w:tcPr>
            <w:tcW w:w="1069"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赵妞</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在研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7</w:t>
            </w:r>
          </w:p>
        </w:tc>
        <w:tc>
          <w:tcPr>
            <w:tcW w:w="4900" w:type="dxa"/>
            <w:shd w:val="clear" w:color="auto" w:fill="auto"/>
            <w:vAlign w:val="center"/>
          </w:tcPr>
          <w:p>
            <w:pPr>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专创融合、团队培养：民办本科高校双创人才培养模式的创新</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2017-2019</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国家级</w:t>
            </w:r>
          </w:p>
        </w:tc>
        <w:tc>
          <w:tcPr>
            <w:tcW w:w="1069" w:type="dxa"/>
            <w:shd w:val="clear" w:color="auto" w:fill="auto"/>
            <w:vAlign w:val="center"/>
          </w:tcPr>
          <w:p>
            <w:pPr>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黄昭明</w:t>
            </w:r>
          </w:p>
          <w:p>
            <w:pPr>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主要参与</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8</w:t>
            </w:r>
          </w:p>
        </w:tc>
        <w:tc>
          <w:tcPr>
            <w:tcW w:w="4900"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精品应用型课程《汽车检测与诊断技术》</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2017-2018</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校级</w:t>
            </w:r>
          </w:p>
        </w:tc>
        <w:tc>
          <w:tcPr>
            <w:tcW w:w="1069"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黄昭明</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9</w:t>
            </w:r>
          </w:p>
        </w:tc>
        <w:tc>
          <w:tcPr>
            <w:tcW w:w="4900"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精品应用型课程《汽车构造》</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2017-2018</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校级</w:t>
            </w:r>
          </w:p>
        </w:tc>
        <w:tc>
          <w:tcPr>
            <w:tcW w:w="1069"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钱爱文</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10</w:t>
            </w:r>
          </w:p>
        </w:tc>
        <w:tc>
          <w:tcPr>
            <w:tcW w:w="4900" w:type="dxa"/>
            <w:shd w:val="clear" w:color="auto" w:fill="auto"/>
            <w:vAlign w:val="center"/>
          </w:tcPr>
          <w:p>
            <w:pPr>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《汽车检测与诊断技术》大规模在线开放课程（MOOC）示范项目</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2016-2019</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校级</w:t>
            </w:r>
          </w:p>
        </w:tc>
        <w:tc>
          <w:tcPr>
            <w:tcW w:w="1069"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黄昭明</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11</w:t>
            </w:r>
          </w:p>
        </w:tc>
        <w:tc>
          <w:tcPr>
            <w:tcW w:w="4900"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精品应用型课程《液压与气压传动》</w:t>
            </w:r>
          </w:p>
        </w:tc>
        <w:tc>
          <w:tcPr>
            <w:tcW w:w="1354"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2019-2020</w:t>
            </w:r>
          </w:p>
        </w:tc>
        <w:tc>
          <w:tcPr>
            <w:tcW w:w="89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校级</w:t>
            </w:r>
          </w:p>
        </w:tc>
        <w:tc>
          <w:tcPr>
            <w:tcW w:w="1069"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赵妞</w:t>
            </w:r>
          </w:p>
        </w:tc>
        <w:tc>
          <w:tcPr>
            <w:tcW w:w="741" w:type="dxa"/>
            <w:shd w:val="clear" w:color="auto" w:fill="auto"/>
            <w:vAlign w:val="center"/>
          </w:tcPr>
          <w:p>
            <w:pPr>
              <w:spacing w:line="360" w:lineRule="auto"/>
              <w:jc w:val="center"/>
              <w:textAlignment w:val="center"/>
              <w:rPr>
                <w:rFonts w:ascii="Times New Roman" w:hAnsi="Times New Roman" w:cs="Times New Roman"/>
                <w:color w:val="000000" w:themeColor="text1"/>
                <w:szCs w:val="21"/>
                <w:lang w:bidi="ar"/>
                <w14:textFill>
                  <w14:solidFill>
                    <w14:schemeClr w14:val="tx1"/>
                  </w14:solidFill>
                </w14:textFill>
              </w:rPr>
            </w:pPr>
            <w:r>
              <w:rPr>
                <w:rFonts w:ascii="Times New Roman" w:hAnsi="Times New Roman" w:cs="Times New Roman"/>
                <w:color w:val="000000" w:themeColor="text1"/>
                <w:szCs w:val="21"/>
                <w:lang w:bidi="ar"/>
                <w14:textFill>
                  <w14:solidFill>
                    <w14:schemeClr w14:val="tx1"/>
                  </w14:solidFill>
                </w14:textFill>
              </w:rPr>
              <w:t>在研</w:t>
            </w:r>
          </w:p>
        </w:tc>
      </w:tr>
    </w:tbl>
    <w:p>
      <w:pPr>
        <w:spacing w:line="360" w:lineRule="auto"/>
        <w:ind w:firstLine="480" w:firstLineChars="200"/>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color w:val="000000" w:themeColor="text1"/>
          <w:sz w:val="24"/>
          <w:szCs w:val="24"/>
          <w:lang w:bidi="ar"/>
          <w14:textFill>
            <w14:solidFill>
              <w14:schemeClr w14:val="tx1"/>
            </w14:solidFill>
          </w14:textFill>
        </w:rPr>
        <w:t>针对汽车服务工程专业应用性强的特点，在进一步加强教学条件建设的基础上，以优化人才培养模式和课程的整合为主要任务，全面推进课程体系和教学内容、方法、手段的改革，加快教学手段现代化，强化实践能力培养，积极开展教学研究，鼓励教师发表教学有关的论文，提高教师教学研究水平。近三年在省级以上刊物发表教学研究论文20余篇。</w:t>
      </w:r>
    </w:p>
    <w:p>
      <w:pPr>
        <w:spacing w:line="360" w:lineRule="auto"/>
        <w:ind w:firstLine="482" w:firstLineChars="200"/>
        <w:rPr>
          <w:rFonts w:ascii="Times New Roman" w:hAnsi="Times New Roman" w:cs="Times New Roman"/>
          <w:b/>
          <w:color w:val="000000" w:themeColor="text1"/>
          <w:sz w:val="24"/>
          <w14:textFill>
            <w14:solidFill>
              <w14:schemeClr w14:val="tx1"/>
            </w14:solidFill>
          </w14:textFill>
        </w:rPr>
      </w:pPr>
      <w:r>
        <w:rPr>
          <w:rFonts w:ascii="Times New Roman" w:hAnsi="Times New Roman" w:cs="Times New Roman"/>
          <w:b/>
          <w:color w:val="000000" w:themeColor="text1"/>
          <w:sz w:val="24"/>
          <w14:textFill>
            <w14:solidFill>
              <w14:schemeClr w14:val="tx1"/>
            </w14:solidFill>
          </w14:textFill>
        </w:rPr>
        <w:t>4.4质量监控</w:t>
      </w:r>
    </w:p>
    <w:p>
      <w:pPr>
        <w:spacing w:line="360" w:lineRule="auto"/>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规范管理，加强监控。认真落实期初、期中、期末三期教学检查制度，通过检查，肯定成绩，发现问题，并及时解决。落实院领导、专业负责人、教研室主任、教师等听课制度。学校督导组成员随机听课，并与院部交流信息。院成立以专业负责人为组长的教学督导组，不定期深入课堂听课。建立学生信息员制度，及时收集学生对教学工作的意见和建议。严格执行教学值班制度和教学巡查制度，保证日常教学工作的正常运行。定期召开教师座谈会、学生座谈会，听取各方面意见，并注重反馈和落实。建立和完善院、教研室、教学督导小组和班级学生信息构成的教学质量监控体系，确保教学质量。</w:t>
      </w:r>
      <w:r>
        <w:rPr>
          <w:rFonts w:ascii="Times New Roman" w:hAnsi="Times New Roman" w:cs="Times New Roman"/>
          <w:color w:val="000000" w:themeColor="text1"/>
          <w:sz w:val="24"/>
          <w14:textFill>
            <w14:solidFill>
              <w14:schemeClr w14:val="tx1"/>
            </w14:solidFill>
          </w14:textFill>
        </w:rPr>
        <w:br w:type="page"/>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9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90" w:type="dxa"/>
            <w:vAlign w:val="center"/>
          </w:tcPr>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校</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学</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位</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评</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定</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或</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学</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术</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委</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员</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会</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意</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见</w:t>
            </w:r>
          </w:p>
        </w:tc>
        <w:tc>
          <w:tcPr>
            <w:tcW w:w="9125" w:type="dxa"/>
            <w:vAlign w:val="center"/>
          </w:tcPr>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ind w:firstLine="480" w:firstLineChars="2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经院学位评定委员会会议讨论，对照安徽省普通高等学校学士学位授权专业评审指标体系要求，认为汽车服务工程专业已具备授予学士学位条件，同意增列为学士学位授予专业。</w:t>
            </w: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ind w:firstLine="960" w:firstLineChars="400"/>
              <w:jc w:val="right"/>
              <w:rPr>
                <w:rFonts w:ascii="Times New Roman" w:hAnsi="Times New Roman" w:cs="Times New Roman"/>
                <w:color w:val="000000" w:themeColor="text1"/>
                <w:sz w:val="24"/>
                <w14:textFill>
                  <w14:solidFill>
                    <w14:schemeClr w14:val="tx1"/>
                  </w14:solidFill>
                </w14:textFill>
              </w:rPr>
            </w:pPr>
          </w:p>
          <w:p>
            <w:pPr>
              <w:ind w:right="480" w:firstLine="960" w:firstLineChars="4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校（院）学位评定或学术委员会主席（签章）</w:t>
            </w:r>
          </w:p>
          <w:p>
            <w:pPr>
              <w:ind w:firstLine="5160" w:firstLineChars="2150"/>
              <w:rPr>
                <w:rFonts w:ascii="Times New Roman" w:hAnsi="Times New Roman" w:cs="Times New Roman"/>
                <w:color w:val="000000" w:themeColor="text1"/>
                <w:sz w:val="24"/>
                <w14:textFill>
                  <w14:solidFill>
                    <w14:schemeClr w14:val="tx1"/>
                  </w14:solidFill>
                </w14:textFill>
              </w:rPr>
            </w:pPr>
          </w:p>
          <w:p>
            <w:pPr>
              <w:wordWrap w:val="0"/>
              <w:ind w:right="720" w:firstLine="6360" w:firstLineChars="265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8" w:hRule="atLeast"/>
          <w:jc w:val="center"/>
        </w:trPr>
        <w:tc>
          <w:tcPr>
            <w:tcW w:w="790" w:type="dxa"/>
            <w:textDirection w:val="tbRlV"/>
            <w:vAlign w:val="center"/>
          </w:tcPr>
          <w:p>
            <w:pPr>
              <w:ind w:left="113" w:right="113"/>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专家评审委员会意见</w:t>
            </w:r>
          </w:p>
        </w:tc>
        <w:tc>
          <w:tcPr>
            <w:tcW w:w="9125" w:type="dxa"/>
            <w:vAlign w:val="center"/>
          </w:tcPr>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ind w:firstLine="6480" w:firstLineChars="27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7" w:hRule="atLeast"/>
          <w:jc w:val="center"/>
        </w:trPr>
        <w:tc>
          <w:tcPr>
            <w:tcW w:w="790" w:type="dxa"/>
            <w:textDirection w:val="tbRlV"/>
            <w:vAlign w:val="center"/>
          </w:tcPr>
          <w:p>
            <w:pPr>
              <w:spacing w:line="360" w:lineRule="auto"/>
              <w:ind w:left="113" w:right="113"/>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省学位委员会审批意见</w:t>
            </w:r>
          </w:p>
        </w:tc>
        <w:tc>
          <w:tcPr>
            <w:tcW w:w="9125" w:type="dxa"/>
            <w:vAlign w:val="center"/>
          </w:tcPr>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ind w:firstLine="6480" w:firstLineChars="270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790" w:type="dxa"/>
            <w:tcBorders>
              <w:bottom w:val="single" w:color="auto" w:sz="4" w:space="0"/>
            </w:tcBorders>
            <w:vAlign w:val="center"/>
          </w:tcPr>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备</w:t>
            </w:r>
          </w:p>
          <w:p>
            <w:pPr>
              <w:jc w:val="center"/>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注</w:t>
            </w:r>
          </w:p>
        </w:tc>
        <w:tc>
          <w:tcPr>
            <w:tcW w:w="9125" w:type="dxa"/>
            <w:tcBorders>
              <w:bottom w:val="single" w:color="auto" w:sz="4" w:space="0"/>
            </w:tcBorders>
            <w:vAlign w:val="center"/>
          </w:tcPr>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p>
            <w:pPr>
              <w:rPr>
                <w:rFonts w:ascii="Times New Roman" w:hAnsi="Times New Roman" w:cs="Times New Roman"/>
                <w:color w:val="000000" w:themeColor="text1"/>
                <w:sz w:val="24"/>
                <w14:textFill>
                  <w14:solidFill>
                    <w14:schemeClr w14:val="tx1"/>
                  </w14:solidFill>
                </w14:textFill>
              </w:rPr>
            </w:pPr>
          </w:p>
        </w:tc>
      </w:tr>
    </w:tbl>
    <w:p>
      <w:pPr>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eastAsia" w:ascii="黑体" w:hAnsi="黑体" w:eastAsia="黑体" w:cs="黑体"/>
          <w:sz w:val="24"/>
          <w:szCs w:val="24"/>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default"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2022年新增学士学位授权专业信息汇总表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黑体" w:hAnsi="黑体" w:eastAsia="黑体" w:cs="黑体"/>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单位代码:14203               名称： 皖江工学院                               </w:t>
      </w:r>
    </w:p>
    <w:tbl>
      <w:tblPr>
        <w:tblStyle w:val="5"/>
        <w:tblW w:w="1404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8"/>
        <w:gridCol w:w="1551"/>
        <w:gridCol w:w="1928"/>
        <w:gridCol w:w="1095"/>
        <w:gridCol w:w="2535"/>
        <w:gridCol w:w="1560"/>
        <w:gridCol w:w="1965"/>
        <w:gridCol w:w="1830"/>
        <w:gridCol w:w="9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638"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551"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专业代码</w:t>
            </w:r>
          </w:p>
        </w:tc>
        <w:tc>
          <w:tcPr>
            <w:tcW w:w="1928"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专业名称</w:t>
            </w:r>
          </w:p>
        </w:tc>
        <w:tc>
          <w:tcPr>
            <w:tcW w:w="1095"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学制</w:t>
            </w:r>
          </w:p>
        </w:tc>
        <w:tc>
          <w:tcPr>
            <w:tcW w:w="2535"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学位授予类别</w:t>
            </w:r>
          </w:p>
        </w:tc>
        <w:tc>
          <w:tcPr>
            <w:tcW w:w="1560"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学科门类</w:t>
            </w:r>
          </w:p>
        </w:tc>
        <w:tc>
          <w:tcPr>
            <w:tcW w:w="1965"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专业门类</w:t>
            </w:r>
          </w:p>
        </w:tc>
        <w:tc>
          <w:tcPr>
            <w:tcW w:w="1830"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获取年份</w:t>
            </w:r>
          </w:p>
        </w:tc>
        <w:tc>
          <w:tcPr>
            <w:tcW w:w="945"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38"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551"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080208</w:t>
            </w:r>
          </w:p>
        </w:tc>
        <w:tc>
          <w:tcPr>
            <w:tcW w:w="1928"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汽车服务工程</w:t>
            </w:r>
          </w:p>
        </w:tc>
        <w:tc>
          <w:tcPr>
            <w:tcW w:w="1095"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2535"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工学</w:t>
            </w:r>
          </w:p>
        </w:tc>
        <w:tc>
          <w:tcPr>
            <w:tcW w:w="1560"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工学</w:t>
            </w:r>
          </w:p>
        </w:tc>
        <w:tc>
          <w:tcPr>
            <w:tcW w:w="1965" w:type="dxa"/>
            <w:tcBorders>
              <w:tl2br w:val="nil"/>
              <w:tr2bl w:val="nil"/>
            </w:tcBorders>
            <w:vAlign w:val="center"/>
          </w:tcPr>
          <w:p>
            <w:pPr>
              <w:keepNext w:val="0"/>
              <w:keepLines w:val="0"/>
              <w:pageBreakBefore w:val="0"/>
              <w:widowControl w:val="0"/>
              <w:numPr>
                <w:ilvl w:val="0"/>
                <w:numId w:val="0"/>
              </w:numPr>
              <w:tabs>
                <w:tab w:val="left" w:pos="354"/>
              </w:tabs>
              <w:kinsoku/>
              <w:wordWrap/>
              <w:overflowPunct/>
              <w:topLinePunct w:val="0"/>
              <w:autoSpaceDE/>
              <w:autoSpaceDN/>
              <w:bidi w:val="0"/>
              <w:adjustRightInd/>
              <w:snapToGrid/>
              <w:spacing w:line="580" w:lineRule="exact"/>
              <w:ind w:right="0" w:rightChars="0"/>
              <w:jc w:val="center"/>
              <w:textAlignment w:val="auto"/>
              <w:outlineLvl w:val="9"/>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机械类</w:t>
            </w:r>
          </w:p>
        </w:tc>
        <w:tc>
          <w:tcPr>
            <w:tcW w:w="1830"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2018</w:t>
            </w:r>
          </w:p>
        </w:tc>
        <w:tc>
          <w:tcPr>
            <w:tcW w:w="945" w:type="dxa"/>
            <w:tcBorders>
              <w:tl2br w:val="nil"/>
              <w:tr2bl w:val="nil"/>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center"/>
              <w:textAlignment w:val="auto"/>
              <w:outlineLvl w:val="9"/>
              <w:rPr>
                <w:rFonts w:hint="eastAsia" w:ascii="宋体" w:hAnsi="宋体" w:eastAsia="宋体" w:cs="宋体"/>
                <w:sz w:val="21"/>
                <w:szCs w:val="21"/>
                <w:vertAlign w:val="baseline"/>
                <w:lang w:val="en-US" w:eastAsia="zh-CN"/>
              </w:rPr>
            </w:pPr>
          </w:p>
        </w:tc>
      </w:tr>
    </w:tbl>
    <w:p>
      <w:pPr>
        <w:rPr>
          <w:rFonts w:hint="eastAsia"/>
          <w:lang w:eastAsia="zh-CN"/>
        </w:rPr>
      </w:pPr>
    </w:p>
    <w:p>
      <w:pPr>
        <w:rPr>
          <w:rFonts w:hint="default" w:eastAsiaTheme="minorEastAsia"/>
          <w:lang w:val="en-US" w:eastAsia="zh-CN"/>
        </w:rPr>
      </w:pPr>
      <w:r>
        <w:rPr>
          <w:rFonts w:hint="eastAsia"/>
          <w:lang w:eastAsia="zh-CN"/>
        </w:rPr>
        <w:t>联系人：</w:t>
      </w:r>
      <w:r>
        <w:rPr>
          <w:rFonts w:hint="eastAsia"/>
          <w:lang w:val="en-US" w:eastAsia="zh-CN"/>
        </w:rPr>
        <w:t xml:space="preserve"> 梅洁         联系方式：17355561214</w:t>
      </w:r>
    </w:p>
    <w:p>
      <w:pPr>
        <w:rPr>
          <w:rFonts w:hint="default"/>
          <w:lang w:val="en-US"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YTQ1ZTEzMmY3MjA5OWMwZmI3NWM4M2VjMGZmMDEifQ=="/>
  </w:docVars>
  <w:rsids>
    <w:rsidRoot w:val="3C61426D"/>
    <w:rsid w:val="05823F15"/>
    <w:rsid w:val="0CD61A3B"/>
    <w:rsid w:val="36D753B1"/>
    <w:rsid w:val="3C61426D"/>
    <w:rsid w:val="3F7E4D95"/>
    <w:rsid w:val="67BC2E06"/>
    <w:rsid w:val="6B556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Body Text First Indent"/>
    <w:basedOn w:val="2"/>
    <w:unhideWhenUsed/>
    <w:qFormat/>
    <w:uiPriority w:val="99"/>
    <w:pPr>
      <w:ind w:firstLine="420" w:firstLineChars="1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NormalCharacter"/>
    <w:qFormat/>
    <w:uiPriority w:val="0"/>
    <w:rPr>
      <w:rFonts w:ascii="Calibri" w:hAnsi="Calibri" w:eastAsia="Calibri"/>
    </w:rPr>
  </w:style>
  <w:style w:type="paragraph" w:customStyle="1" w:styleId="8">
    <w:name w:val="自评报告正文"/>
    <w:qFormat/>
    <w:uiPriority w:val="0"/>
    <w:pPr>
      <w:ind w:firstLine="560" w:firstLineChars="200"/>
    </w:pPr>
    <w:rPr>
      <w:rFonts w:ascii="Times New Roman" w:hAnsi="Times New Roman" w:eastAsia="楷体_GB2312" w:cs="Times New Roman"/>
      <w:sz w:val="28"/>
      <w:szCs w:val="28"/>
      <w:lang w:val="en-US" w:eastAsia="zh-CN" w:bidi="ar-SA"/>
    </w:rPr>
  </w:style>
  <w:style w:type="paragraph" w:customStyle="1" w:styleId="9">
    <w:name w:val="正文文本缩进 21"/>
    <w:basedOn w:val="1"/>
    <w:qFormat/>
    <w:uiPriority w:val="99"/>
    <w:pPr>
      <w:suppressAutoHyphens/>
      <w:ind w:left="420" w:firstLine="420"/>
    </w:pPr>
    <w:rPr>
      <w:rFonts w:ascii="Times New Roman" w:hAnsi="Times New Roman" w:eastAsia="宋体" w:cs="Times New Roman"/>
      <w:kern w:val="1"/>
      <w:szCs w:val="21"/>
      <w:lang w:eastAsia="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6" Type="http://schemas.openxmlformats.org/officeDocument/2006/relationships/fontTable" Target="fontTable.xml"/><Relationship Id="rId35" Type="http://schemas.openxmlformats.org/officeDocument/2006/relationships/customXml" Target="../customXml/item1.xml"/><Relationship Id="rId34" Type="http://schemas.openxmlformats.org/officeDocument/2006/relationships/image" Target="media/image31.pn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emf"/><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15047</Words>
  <Characters>20371</Characters>
  <Lines>0</Lines>
  <Paragraphs>0</Paragraphs>
  <TotalTime>1</TotalTime>
  <ScaleCrop>false</ScaleCrop>
  <LinksUpToDate>false</LinksUpToDate>
  <CharactersWithSpaces>21299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2022-05-30T03:04:00Z</dcterms:created>
  <dc:creator>。</dc:creator>
  <cp:lastModifiedBy>Administrator</cp:lastModifiedBy>
  <cp:lastPrinted>2022-05-30T07:06:00Z</cp:lastPrinted>
  <dcterms:modified xsi:type="dcterms:W3CDTF">2022-06-06T01:55:28Z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912ED83B038D4A4E81E888683A094226</vt:lpwstr>
  </property>
</Properties>
</file>