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</w:t>
      </w:r>
    </w:p>
    <w:tbl>
      <w:tblPr>
        <w:tblStyle w:val="3"/>
        <w:tblpPr w:leftFromText="180" w:rightFromText="180" w:vertAnchor="text" w:horzAnchor="page" w:tblpX="908" w:tblpY="69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00"/>
        <w:gridCol w:w="2200"/>
        <w:gridCol w:w="1739"/>
        <w:gridCol w:w="3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6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皖江工学院2024年高层次人才招聘需求计划表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学术带头人/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专业教师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博士研究生或硕士研究生学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历、副高及以上职称；年龄45周岁以下（含）；有相关工作经验者优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pPr>
        <w:spacing w:after="120"/>
        <w:jc w:val="left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TVhMzA2NzVkM2Q2MWY4MjJjZjA2OWUwODQ5NTAifQ=="/>
  </w:docVars>
  <w:rsids>
    <w:rsidRoot w:val="00000000"/>
    <w:rsid w:val="0072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2023-12-20T00:41:34Z</dcterms:created>
  <dc:creator>Administrator</dc:creator>
  <cp:lastModifiedBy>Daisy.Huang</cp:lastModifiedBy>
  <dcterms:modified xsi:type="dcterms:W3CDTF">2023-12-20T00:41:38Z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C1CA3BCBC8984C56A8E1A79ACCCACD40_12</vt:lpwstr>
  </property>
</Properties>
</file>