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24AC1">
      <w:pPr>
        <w:jc w:val="left"/>
        <w:rPr>
          <w:rFonts w:ascii="仿宋_GB2312" w:hAnsi="仿宋_GB2312" w:eastAsia="仿宋_GB2312"/>
          <w:color w:val="383838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附件1 </w:t>
      </w:r>
      <w:r>
        <w:rPr>
          <w:rFonts w:hint="eastAsia" w:ascii="仿宋_GB2312" w:hAnsi="仿宋_GB2312" w:eastAsia="仿宋_GB2312"/>
          <w:color w:val="383838"/>
          <w:sz w:val="32"/>
          <w:szCs w:val="32"/>
        </w:rPr>
        <w:t>开放基金项目中期检查一览表</w:t>
      </w:r>
    </w:p>
    <w:p w14:paraId="7F84AB7B">
      <w:pPr>
        <w:pStyle w:val="2"/>
        <w:widowControl/>
        <w:spacing w:beforeAutospacing="0" w:afterAutospacing="0" w:line="360" w:lineRule="auto"/>
        <w:ind w:firstLine="1200" w:firstLineChars="500"/>
        <w:jc w:val="both"/>
        <w:rPr>
          <w:rFonts w:ascii="Times New Roman" w:hAnsi="Times New Roman" w:eastAsia="仿宋"/>
          <w:szCs w:val="24"/>
        </w:rPr>
      </w:pPr>
      <w:r>
        <w:rPr>
          <w:rFonts w:ascii="Times New Roman" w:hAnsi="Times New Roman" w:eastAsia="仿宋"/>
          <w:szCs w:val="24"/>
        </w:rPr>
        <w:t>马鞍山市工程监测与安全监控工程技术研究中心</w:t>
      </w:r>
    </w:p>
    <w:p w14:paraId="5C0206B3">
      <w:pPr>
        <w:pStyle w:val="2"/>
        <w:widowControl/>
        <w:spacing w:beforeAutospacing="0" w:afterAutospacing="0" w:line="360" w:lineRule="auto"/>
        <w:ind w:firstLine="1920" w:firstLineChars="800"/>
        <w:jc w:val="both"/>
        <w:rPr>
          <w:rFonts w:ascii="Times New Roman" w:hAnsi="Times New Roman" w:eastAsia="仿宋"/>
          <w:szCs w:val="24"/>
        </w:rPr>
      </w:pPr>
      <w:r>
        <w:rPr>
          <w:rFonts w:ascii="Times New Roman" w:hAnsi="Times New Roman" w:eastAsia="仿宋"/>
          <w:szCs w:val="24"/>
        </w:rPr>
        <w:t>202</w:t>
      </w:r>
      <w:r>
        <w:rPr>
          <w:rFonts w:hint="eastAsia" w:ascii="Times New Roman" w:hAnsi="Times New Roman" w:eastAsia="仿宋"/>
          <w:szCs w:val="24"/>
          <w:lang w:val="en-US" w:eastAsia="zh-CN"/>
        </w:rPr>
        <w:t>5</w:t>
      </w:r>
      <w:r>
        <w:rPr>
          <w:rFonts w:ascii="Times New Roman" w:hAnsi="Times New Roman" w:eastAsia="仿宋"/>
          <w:szCs w:val="24"/>
        </w:rPr>
        <w:t>年度开放基金项目一览表</w:t>
      </w:r>
    </w:p>
    <w:tbl>
      <w:tblPr>
        <w:tblStyle w:val="4"/>
        <w:tblpPr w:leftFromText="180" w:rightFromText="180" w:vertAnchor="text" w:horzAnchor="page" w:tblpX="2180" w:tblpY="253"/>
        <w:tblOverlap w:val="never"/>
        <w:tblW w:w="7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4145"/>
        <w:gridCol w:w="1480"/>
      </w:tblGrid>
      <w:tr w14:paraId="694CDEEE">
        <w:tc>
          <w:tcPr>
            <w:tcW w:w="1590" w:type="dxa"/>
          </w:tcPr>
          <w:p w14:paraId="1E0C5DA2"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编号</w:t>
            </w:r>
          </w:p>
        </w:tc>
        <w:tc>
          <w:tcPr>
            <w:tcW w:w="4145" w:type="dxa"/>
          </w:tcPr>
          <w:p w14:paraId="39388138"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项目名称</w:t>
            </w:r>
          </w:p>
        </w:tc>
        <w:tc>
          <w:tcPr>
            <w:tcW w:w="1480" w:type="dxa"/>
          </w:tcPr>
          <w:p w14:paraId="505138C7"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申请者</w:t>
            </w:r>
          </w:p>
        </w:tc>
      </w:tr>
      <w:tr w14:paraId="08E534BE">
        <w:tc>
          <w:tcPr>
            <w:tcW w:w="1590" w:type="dxa"/>
            <w:vAlign w:val="center"/>
          </w:tcPr>
          <w:p w14:paraId="2D23B8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GCJC25001</w:t>
            </w:r>
          </w:p>
        </w:tc>
        <w:tc>
          <w:tcPr>
            <w:tcW w:w="4145" w:type="dxa"/>
            <w:vAlign w:val="center"/>
          </w:tcPr>
          <w:p w14:paraId="48C0FF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基于生态滤层的堤防土体水力侵蚀快速控制研究</w:t>
            </w:r>
          </w:p>
        </w:tc>
        <w:tc>
          <w:tcPr>
            <w:tcW w:w="1480" w:type="dxa"/>
            <w:vAlign w:val="center"/>
          </w:tcPr>
          <w:p w14:paraId="08EA6E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402A37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刘胜</w:t>
            </w:r>
          </w:p>
          <w:p w14:paraId="6B3D620D"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65023CE7"/>
          <w:p w14:paraId="6C1930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F7668E2">
        <w:tc>
          <w:tcPr>
            <w:tcW w:w="1590" w:type="dxa"/>
            <w:vAlign w:val="center"/>
          </w:tcPr>
          <w:p w14:paraId="31EE0D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GCJC25002</w:t>
            </w:r>
          </w:p>
        </w:tc>
        <w:tc>
          <w:tcPr>
            <w:tcW w:w="4145" w:type="dxa"/>
            <w:vAlign w:val="center"/>
          </w:tcPr>
          <w:p w14:paraId="65A241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基于黏性地层泥水盾构施工的刀盘泥饼防治关键技术研究</w:t>
            </w:r>
          </w:p>
        </w:tc>
        <w:tc>
          <w:tcPr>
            <w:tcW w:w="1480" w:type="dxa"/>
            <w:vAlign w:val="center"/>
          </w:tcPr>
          <w:p w14:paraId="6C1F40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  <w:p w14:paraId="058A83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张箭</w:t>
            </w:r>
          </w:p>
          <w:p w14:paraId="48A73B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  <w:tr w14:paraId="537F922C">
        <w:tc>
          <w:tcPr>
            <w:tcW w:w="1590" w:type="dxa"/>
            <w:vAlign w:val="center"/>
          </w:tcPr>
          <w:p w14:paraId="5675E1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GCJC25003</w:t>
            </w:r>
          </w:p>
        </w:tc>
        <w:tc>
          <w:tcPr>
            <w:tcW w:w="4145" w:type="dxa"/>
            <w:vAlign w:val="center"/>
          </w:tcPr>
          <w:p w14:paraId="414F42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极端降雨下尾矿库稳定性智能预测模型研究</w:t>
            </w:r>
          </w:p>
        </w:tc>
        <w:tc>
          <w:tcPr>
            <w:tcW w:w="1480" w:type="dxa"/>
            <w:vAlign w:val="center"/>
          </w:tcPr>
          <w:p w14:paraId="6BAC9B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周详</w:t>
            </w:r>
          </w:p>
        </w:tc>
      </w:tr>
    </w:tbl>
    <w:p w14:paraId="5E89B6D1">
      <w:pPr>
        <w:jc w:val="left"/>
        <w:rPr>
          <w:rFonts w:ascii="仿宋_GB2312" w:hAnsi="仿宋_GB2312" w:eastAsia="仿宋_GB2312"/>
          <w:color w:val="383838"/>
          <w:sz w:val="32"/>
          <w:szCs w:val="32"/>
        </w:rPr>
      </w:pPr>
    </w:p>
    <w:p w14:paraId="697860C8">
      <w:pPr>
        <w:jc w:val="left"/>
        <w:rPr>
          <w:rFonts w:ascii="仿宋_GB2312" w:hAnsi="仿宋_GB2312" w:eastAsia="仿宋_GB2312"/>
          <w:color w:val="383838"/>
          <w:sz w:val="32"/>
          <w:szCs w:val="32"/>
        </w:rPr>
      </w:pPr>
    </w:p>
    <w:p w14:paraId="7E5DCD42">
      <w:pPr>
        <w:jc w:val="left"/>
        <w:rPr>
          <w:rFonts w:ascii="仿宋_GB2312" w:hAnsi="仿宋_GB2312" w:eastAsia="仿宋_GB2312"/>
          <w:color w:val="383838"/>
          <w:sz w:val="32"/>
          <w:szCs w:val="32"/>
        </w:rPr>
      </w:pPr>
    </w:p>
    <w:p w14:paraId="723FE6DB">
      <w:pPr>
        <w:jc w:val="left"/>
        <w:rPr>
          <w:rFonts w:ascii="仿宋_GB2312" w:hAnsi="仿宋_GB2312" w:eastAsia="仿宋_GB2312"/>
          <w:color w:val="383838"/>
          <w:sz w:val="32"/>
          <w:szCs w:val="32"/>
        </w:rPr>
      </w:pPr>
    </w:p>
    <w:p w14:paraId="61572C0F">
      <w:pPr>
        <w:jc w:val="left"/>
        <w:rPr>
          <w:rFonts w:ascii="仿宋_GB2312" w:hAnsi="仿宋_GB2312" w:eastAsia="仿宋_GB2312"/>
          <w:color w:val="383838"/>
          <w:sz w:val="32"/>
          <w:szCs w:val="32"/>
        </w:rPr>
      </w:pPr>
    </w:p>
    <w:p w14:paraId="6A1B5096">
      <w:pPr>
        <w:jc w:val="left"/>
        <w:rPr>
          <w:rFonts w:ascii="仿宋_GB2312" w:hAnsi="仿宋_GB2312" w:eastAsia="仿宋_GB2312"/>
          <w:color w:val="383838"/>
          <w:sz w:val="32"/>
          <w:szCs w:val="32"/>
        </w:rPr>
      </w:pPr>
    </w:p>
    <w:p w14:paraId="4E5DF64F">
      <w:pPr>
        <w:pStyle w:val="2"/>
        <w:widowControl/>
        <w:spacing w:beforeAutospacing="0" w:afterAutospacing="0" w:line="360" w:lineRule="auto"/>
        <w:ind w:firstLine="1200" w:firstLineChars="500"/>
        <w:jc w:val="both"/>
        <w:rPr>
          <w:rFonts w:ascii="仿宋" w:hAnsi="仿宋" w:eastAsia="仿宋" w:cs="仿宋"/>
          <w:szCs w:val="24"/>
        </w:rPr>
      </w:pPr>
    </w:p>
    <w:p w14:paraId="3AFD319C">
      <w:pPr>
        <w:pStyle w:val="2"/>
        <w:widowControl/>
        <w:spacing w:beforeAutospacing="0" w:afterAutospacing="0" w:line="360" w:lineRule="auto"/>
        <w:ind w:firstLine="1200" w:firstLineChars="500"/>
        <w:jc w:val="both"/>
        <w:rPr>
          <w:rFonts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马鞍山市土地检测评估与修复工程技术研究中心</w:t>
      </w:r>
    </w:p>
    <w:p w14:paraId="22C792E2">
      <w:pPr>
        <w:pStyle w:val="2"/>
        <w:widowControl/>
        <w:spacing w:beforeAutospacing="0" w:afterAutospacing="0"/>
        <w:ind w:firstLine="2160" w:firstLineChars="900"/>
        <w:jc w:val="both"/>
        <w:rPr>
          <w:rFonts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Cs w:val="24"/>
        </w:rPr>
        <w:t>2024年度开放基金项目一览表</w:t>
      </w:r>
    </w:p>
    <w:tbl>
      <w:tblPr>
        <w:tblStyle w:val="4"/>
        <w:tblpPr w:leftFromText="180" w:rightFromText="180" w:vertAnchor="text" w:horzAnchor="page" w:tblpX="2190" w:tblpY="154"/>
        <w:tblOverlap w:val="never"/>
        <w:tblW w:w="7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4108"/>
        <w:gridCol w:w="1480"/>
      </w:tblGrid>
      <w:tr w14:paraId="7B88EC03">
        <w:tc>
          <w:tcPr>
            <w:tcW w:w="1590" w:type="dxa"/>
          </w:tcPr>
          <w:p w14:paraId="6A4C619F"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编号</w:t>
            </w:r>
          </w:p>
        </w:tc>
        <w:tc>
          <w:tcPr>
            <w:tcW w:w="4108" w:type="dxa"/>
          </w:tcPr>
          <w:p w14:paraId="35C05A76"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项目名称</w:t>
            </w:r>
          </w:p>
        </w:tc>
        <w:tc>
          <w:tcPr>
            <w:tcW w:w="1480" w:type="dxa"/>
          </w:tcPr>
          <w:p w14:paraId="05209B29"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申请者</w:t>
            </w:r>
          </w:p>
        </w:tc>
      </w:tr>
      <w:tr w14:paraId="11373A95">
        <w:trPr>
          <w:trHeight w:val="599" w:hRule="atLeast"/>
        </w:trPr>
        <w:tc>
          <w:tcPr>
            <w:tcW w:w="1590" w:type="dxa"/>
            <w:vAlign w:val="center"/>
          </w:tcPr>
          <w:p w14:paraId="3AAD2A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TDJC25001</w:t>
            </w:r>
          </w:p>
        </w:tc>
        <w:tc>
          <w:tcPr>
            <w:tcW w:w="4108" w:type="dxa"/>
            <w:vAlign w:val="center"/>
          </w:tcPr>
          <w:p w14:paraId="6FCB15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基于多源数据融合的矿山边坡稳定性评价与动态预警方法研究</w:t>
            </w:r>
          </w:p>
        </w:tc>
        <w:tc>
          <w:tcPr>
            <w:tcW w:w="1480" w:type="dxa"/>
            <w:vAlign w:val="center"/>
          </w:tcPr>
          <w:p w14:paraId="408E96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叶霄</w:t>
            </w:r>
          </w:p>
        </w:tc>
      </w:tr>
      <w:tr w14:paraId="60F0BF2E">
        <w:tc>
          <w:tcPr>
            <w:tcW w:w="1590" w:type="dxa"/>
            <w:vAlign w:val="center"/>
          </w:tcPr>
          <w:p w14:paraId="1D7A48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TDJC25002</w:t>
            </w:r>
          </w:p>
        </w:tc>
        <w:tc>
          <w:tcPr>
            <w:tcW w:w="4108" w:type="dxa"/>
            <w:vAlign w:val="center"/>
          </w:tcPr>
          <w:p w14:paraId="62F7A1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基于多模态数据融合的路基压实质量评价方法研究</w:t>
            </w:r>
          </w:p>
        </w:tc>
        <w:tc>
          <w:tcPr>
            <w:tcW w:w="1480" w:type="dxa"/>
            <w:vAlign w:val="center"/>
          </w:tcPr>
          <w:p w14:paraId="5BC039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沈露</w:t>
            </w:r>
          </w:p>
        </w:tc>
      </w:tr>
      <w:tr w14:paraId="2E4D65B4">
        <w:tc>
          <w:tcPr>
            <w:tcW w:w="1590" w:type="dxa"/>
            <w:vAlign w:val="center"/>
          </w:tcPr>
          <w:p w14:paraId="46921B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TDJC25003</w:t>
            </w:r>
          </w:p>
        </w:tc>
        <w:tc>
          <w:tcPr>
            <w:tcW w:w="4108" w:type="dxa"/>
            <w:vAlign w:val="center"/>
          </w:tcPr>
          <w:p w14:paraId="1CC27D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变直径钢筋笼扩大头抗浮锚杆变形问题研究</w:t>
            </w:r>
          </w:p>
        </w:tc>
        <w:tc>
          <w:tcPr>
            <w:tcW w:w="1480" w:type="dxa"/>
            <w:vAlign w:val="center"/>
          </w:tcPr>
          <w:p w14:paraId="54CCCD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杨光</w:t>
            </w:r>
          </w:p>
        </w:tc>
      </w:tr>
      <w:tr w14:paraId="17438AB1">
        <w:trPr>
          <w:trHeight w:val="529" w:hRule="atLeast"/>
        </w:trPr>
        <w:tc>
          <w:tcPr>
            <w:tcW w:w="1590" w:type="dxa"/>
            <w:vAlign w:val="center"/>
          </w:tcPr>
          <w:p w14:paraId="7852B5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TDJC25004</w:t>
            </w:r>
          </w:p>
        </w:tc>
        <w:tc>
          <w:tcPr>
            <w:tcW w:w="4108" w:type="dxa"/>
            <w:vAlign w:val="center"/>
          </w:tcPr>
          <w:p w14:paraId="3533D4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高强度化学凝胶堵漏技术体系的研究</w:t>
            </w:r>
          </w:p>
        </w:tc>
        <w:tc>
          <w:tcPr>
            <w:tcW w:w="1480" w:type="dxa"/>
            <w:vAlign w:val="center"/>
          </w:tcPr>
          <w:p w14:paraId="1BDEF5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郭瑞</w:t>
            </w:r>
          </w:p>
        </w:tc>
      </w:tr>
    </w:tbl>
    <w:p w14:paraId="4DADAA55">
      <w:pPr>
        <w:jc w:val="left"/>
        <w:rPr>
          <w:rFonts w:ascii="仿宋_GB2312" w:hAnsi="仿宋_GB2312" w:eastAsia="仿宋_GB2312"/>
          <w:color w:val="383838"/>
          <w:sz w:val="32"/>
          <w:szCs w:val="32"/>
        </w:rPr>
      </w:pPr>
    </w:p>
    <w:p w14:paraId="17B579FF">
      <w:pPr>
        <w:autoSpaceDN w:val="0"/>
        <w:ind w:right="640"/>
        <w:jc w:val="left"/>
        <w:rPr>
          <w:rFonts w:ascii="仿宋_GB2312" w:eastAsia="仿宋_GB2312"/>
          <w:sz w:val="32"/>
          <w:szCs w:val="32"/>
        </w:rPr>
      </w:pPr>
    </w:p>
    <w:p w14:paraId="3AEB1E77">
      <w:pPr>
        <w:autoSpaceDN w:val="0"/>
        <w:ind w:right="640"/>
        <w:jc w:val="left"/>
        <w:rPr>
          <w:rFonts w:ascii="仿宋_GB2312" w:eastAsia="仿宋_GB2312"/>
          <w:sz w:val="32"/>
          <w:szCs w:val="32"/>
        </w:rPr>
      </w:pPr>
    </w:p>
    <w:p w14:paraId="38B97D09">
      <w:pPr>
        <w:autoSpaceDN w:val="0"/>
        <w:ind w:right="640"/>
        <w:jc w:val="left"/>
        <w:rPr>
          <w:rFonts w:ascii="仿宋_GB2312" w:eastAsia="仿宋_GB2312"/>
          <w:sz w:val="32"/>
          <w:szCs w:val="32"/>
        </w:rPr>
      </w:pPr>
    </w:p>
    <w:p w14:paraId="28E17527">
      <w:pPr>
        <w:autoSpaceDN w:val="0"/>
        <w:ind w:right="640"/>
        <w:jc w:val="left"/>
        <w:rPr>
          <w:rFonts w:ascii="仿宋_GB2312" w:eastAsia="仿宋_GB2312"/>
          <w:sz w:val="32"/>
          <w:szCs w:val="32"/>
        </w:rPr>
      </w:pPr>
    </w:p>
    <w:p w14:paraId="1A5A2FCC">
      <w:pPr>
        <w:autoSpaceDN w:val="0"/>
        <w:ind w:right="640"/>
        <w:jc w:val="left"/>
        <w:rPr>
          <w:rFonts w:ascii="仿宋_GB2312" w:eastAsia="仿宋_GB2312"/>
          <w:sz w:val="32"/>
          <w:szCs w:val="32"/>
        </w:rPr>
      </w:pPr>
    </w:p>
    <w:p w14:paraId="7DB79C0B">
      <w:pPr>
        <w:autoSpaceDN w:val="0"/>
        <w:ind w:right="640"/>
        <w:jc w:val="left"/>
        <w:rPr>
          <w:rFonts w:ascii="仿宋_GB2312" w:eastAsia="仿宋_GB2312"/>
          <w:sz w:val="32"/>
          <w:szCs w:val="32"/>
        </w:rPr>
      </w:pPr>
    </w:p>
    <w:p w14:paraId="57B2E7E2">
      <w:pPr>
        <w:autoSpaceDN w:val="0"/>
        <w:ind w:right="640"/>
        <w:jc w:val="left"/>
        <w:rPr>
          <w:rFonts w:ascii="仿宋_GB2312" w:eastAsia="仿宋_GB2312"/>
          <w:sz w:val="32"/>
          <w:szCs w:val="32"/>
        </w:rPr>
      </w:pPr>
    </w:p>
    <w:p w14:paraId="79640DE7">
      <w:pPr>
        <w:autoSpaceDN w:val="0"/>
        <w:ind w:right="640"/>
        <w:jc w:val="left"/>
        <w:rPr>
          <w:rFonts w:ascii="仿宋_GB2312" w:eastAsia="仿宋_GB2312"/>
          <w:sz w:val="32"/>
          <w:szCs w:val="32"/>
        </w:rPr>
      </w:pPr>
    </w:p>
    <w:p w14:paraId="3E43C1CD">
      <w:pPr>
        <w:autoSpaceDN w:val="0"/>
        <w:ind w:right="640"/>
        <w:jc w:val="left"/>
        <w:rPr>
          <w:rFonts w:ascii="仿宋_GB2312" w:eastAsia="仿宋_GB2312"/>
          <w:sz w:val="32"/>
          <w:szCs w:val="32"/>
        </w:rPr>
      </w:pPr>
    </w:p>
    <w:p w14:paraId="5CF32781">
      <w:pPr>
        <w:autoSpaceDN w:val="0"/>
        <w:ind w:right="640"/>
        <w:jc w:val="left"/>
        <w:rPr>
          <w:rFonts w:ascii="仿宋_GB2312" w:eastAsia="仿宋_GB2312"/>
          <w:sz w:val="32"/>
          <w:szCs w:val="32"/>
        </w:rPr>
      </w:pPr>
    </w:p>
    <w:p w14:paraId="6B4D3B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7B85E"/>
    <w:rsid w:val="33F7B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2026-07-17T12:24:00Z</dcterms:created>
  <dc:creator>zwhy</dc:creator>
  <cp:lastModifiedBy>zwhy</cp:lastModifiedBy>
  <dcterms:modified xsi:type="dcterms:W3CDTF">2026-07-17T12:25:05Z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F29D70F5CA1BC58999AE596A59CCC183_41</vt:lpwstr>
  </property>
</Properties>
</file>