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88D51">
      <w:pPr>
        <w:keepNext w:val="0"/>
        <w:keepLines w:val="0"/>
        <w:pageBreakBefore w:val="0"/>
        <w:tabs>
          <w:tab w:val="left" w:pos="1722"/>
        </w:tabs>
        <w:kinsoku/>
        <w:wordWrap/>
        <w:overflowPunct/>
        <w:topLinePunct w:val="0"/>
        <w:autoSpaceDE/>
        <w:bidi w:val="0"/>
        <w:adjustRightInd/>
        <w:snapToGrid w:val="0"/>
        <w:spacing w:line="640" w:lineRule="exact"/>
        <w:jc w:val="center"/>
        <w:textAlignment w:val="auto"/>
        <w:rPr>
          <w:rFonts w:hint="eastAsia" w:ascii="仿宋" w:hAnsi="仿宋" w:eastAsia="仿宋" w:cs="仿宋"/>
          <w:bCs/>
          <w:snapToGrid w:val="0"/>
          <w:color w:val="000000"/>
          <w:kern w:val="0"/>
          <w:sz w:val="32"/>
          <w:szCs w:val="32"/>
        </w:rPr>
      </w:pPr>
    </w:p>
    <w:p w14:paraId="68223D75">
      <w:pPr>
        <w:keepNext w:val="0"/>
        <w:keepLines w:val="0"/>
        <w:pageBreakBefore w:val="0"/>
        <w:tabs>
          <w:tab w:val="left" w:pos="1722"/>
        </w:tabs>
        <w:kinsoku/>
        <w:wordWrap/>
        <w:overflowPunct/>
        <w:topLinePunct w:val="0"/>
        <w:autoSpaceDE/>
        <w:bidi w:val="0"/>
        <w:adjustRightInd/>
        <w:snapToGrid w:val="0"/>
        <w:spacing w:line="640" w:lineRule="exact"/>
        <w:jc w:val="center"/>
        <w:textAlignment w:val="auto"/>
        <w:rPr>
          <w:rFonts w:hint="eastAsia" w:ascii="仿宋" w:hAnsi="仿宋" w:eastAsia="仿宋" w:cs="仿宋"/>
          <w:bCs/>
          <w:snapToGrid w:val="0"/>
          <w:color w:val="000000"/>
          <w:kern w:val="0"/>
          <w:sz w:val="32"/>
          <w:szCs w:val="32"/>
        </w:rPr>
      </w:pPr>
    </w:p>
    <w:p w14:paraId="049C93F7">
      <w:pPr>
        <w:keepNext w:val="0"/>
        <w:keepLines w:val="0"/>
        <w:pageBreakBefore w:val="0"/>
        <w:tabs>
          <w:tab w:val="left" w:pos="1722"/>
        </w:tabs>
        <w:kinsoku/>
        <w:wordWrap/>
        <w:overflowPunct/>
        <w:topLinePunct w:val="0"/>
        <w:autoSpaceDE/>
        <w:bidi w:val="0"/>
        <w:adjustRightInd/>
        <w:snapToGrid w:val="0"/>
        <w:spacing w:line="640" w:lineRule="exact"/>
        <w:jc w:val="center"/>
        <w:textAlignment w:val="auto"/>
        <w:rPr>
          <w:rFonts w:hint="eastAsia" w:ascii="仿宋" w:hAnsi="仿宋" w:eastAsia="仿宋" w:cs="仿宋"/>
          <w:bCs/>
          <w:snapToGrid w:val="0"/>
          <w:color w:val="000000"/>
          <w:kern w:val="0"/>
          <w:sz w:val="32"/>
          <w:szCs w:val="32"/>
        </w:rPr>
      </w:pPr>
    </w:p>
    <w:p w14:paraId="05E511C6">
      <w:pPr>
        <w:keepNext w:val="0"/>
        <w:keepLines w:val="0"/>
        <w:pageBreakBefore w:val="0"/>
        <w:tabs>
          <w:tab w:val="left" w:pos="1722"/>
        </w:tabs>
        <w:kinsoku/>
        <w:wordWrap/>
        <w:overflowPunct/>
        <w:topLinePunct w:val="0"/>
        <w:autoSpaceDE/>
        <w:bidi w:val="0"/>
        <w:adjustRightInd/>
        <w:snapToGrid w:val="0"/>
        <w:spacing w:line="640" w:lineRule="exact"/>
        <w:jc w:val="center"/>
        <w:textAlignment w:val="auto"/>
        <w:rPr>
          <w:rFonts w:hint="eastAsia" w:ascii="仿宋" w:hAnsi="仿宋" w:eastAsia="仿宋" w:cs="仿宋"/>
          <w:bCs/>
          <w:snapToGrid w:val="0"/>
          <w:color w:val="000000"/>
          <w:kern w:val="0"/>
          <w:sz w:val="32"/>
          <w:szCs w:val="32"/>
        </w:rPr>
      </w:pPr>
    </w:p>
    <w:p w14:paraId="3FE77E65">
      <w:pPr>
        <w:keepNext w:val="0"/>
        <w:keepLines w:val="0"/>
        <w:pageBreakBefore w:val="0"/>
        <w:tabs>
          <w:tab w:val="left" w:pos="1722"/>
        </w:tabs>
        <w:kinsoku/>
        <w:wordWrap/>
        <w:overflowPunct/>
        <w:topLinePunct w:val="0"/>
        <w:autoSpaceDE/>
        <w:bidi w:val="0"/>
        <w:adjustRightInd/>
        <w:snapToGrid w:val="0"/>
        <w:spacing w:line="640" w:lineRule="exact"/>
        <w:textAlignment w:val="auto"/>
        <w:rPr>
          <w:rFonts w:hint="eastAsia" w:ascii="仿宋" w:hAnsi="仿宋" w:eastAsia="仿宋" w:cs="仿宋"/>
          <w:bCs/>
          <w:snapToGrid w:val="0"/>
          <w:color w:val="000000"/>
          <w:kern w:val="0"/>
          <w:sz w:val="32"/>
          <w:szCs w:val="32"/>
        </w:rPr>
      </w:pPr>
    </w:p>
    <w:p w14:paraId="2EE8BBA3">
      <w:pPr>
        <w:keepNext w:val="0"/>
        <w:keepLines w:val="0"/>
        <w:pageBreakBefore w:val="0"/>
        <w:tabs>
          <w:tab w:val="left" w:pos="1722"/>
        </w:tabs>
        <w:kinsoku/>
        <w:wordWrap/>
        <w:overflowPunct/>
        <w:topLinePunct w:val="0"/>
        <w:autoSpaceDE/>
        <w:bidi w:val="0"/>
        <w:adjustRightInd/>
        <w:snapToGrid w:val="0"/>
        <w:spacing w:line="640" w:lineRule="exact"/>
        <w:textAlignment w:val="auto"/>
        <w:rPr>
          <w:rFonts w:hint="eastAsia" w:ascii="仿宋" w:hAnsi="仿宋" w:eastAsia="仿宋" w:cs="仿宋"/>
          <w:bCs/>
          <w:snapToGrid w:val="0"/>
          <w:kern w:val="0"/>
          <w:sz w:val="32"/>
          <w:szCs w:val="32"/>
        </w:rPr>
      </w:pPr>
    </w:p>
    <w:p w14:paraId="317338FA">
      <w:pPr>
        <w:keepNext w:val="0"/>
        <w:keepLines w:val="0"/>
        <w:pageBreakBefore w:val="0"/>
        <w:kinsoku/>
        <w:wordWrap/>
        <w:overflowPunct/>
        <w:topLinePunct w:val="0"/>
        <w:autoSpaceDE/>
        <w:bidi w:val="0"/>
        <w:adjustRightInd/>
        <w:spacing w:line="64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皖工教发〔2026〕</w:t>
      </w:r>
      <w:r>
        <w:rPr>
          <w:rFonts w:hint="eastAsia" w:ascii="仿宋" w:hAnsi="仿宋" w:eastAsia="仿宋" w:cs="仿宋"/>
          <w:sz w:val="32"/>
          <w:szCs w:val="32"/>
          <w:lang w:val="en-US" w:eastAsia="zh-CN"/>
        </w:rPr>
        <w:t>96</w:t>
      </w:r>
      <w:r>
        <w:rPr>
          <w:rFonts w:hint="eastAsia" w:ascii="仿宋" w:hAnsi="仿宋" w:eastAsia="仿宋" w:cs="仿宋"/>
          <w:sz w:val="32"/>
          <w:szCs w:val="32"/>
        </w:rPr>
        <w:t>号</w:t>
      </w:r>
    </w:p>
    <w:p w14:paraId="2C5DA3B7">
      <w:pPr>
        <w:keepNext w:val="0"/>
        <w:keepLines w:val="0"/>
        <w:pageBreakBefore w:val="0"/>
        <w:widowControl/>
        <w:kinsoku/>
        <w:wordWrap/>
        <w:overflowPunct/>
        <w:topLinePunct w:val="0"/>
        <w:autoSpaceDE/>
        <w:bidi w:val="0"/>
        <w:adjustRightInd/>
        <w:spacing w:line="640" w:lineRule="exact"/>
        <w:textAlignment w:val="auto"/>
        <w:rPr>
          <w:rFonts w:hint="eastAsia" w:ascii="仿宋" w:hAnsi="仿宋" w:eastAsia="仿宋" w:cs="仿宋"/>
          <w:b/>
          <w:color w:val="000000" w:themeColor="text1"/>
          <w:kern w:val="0"/>
          <w:sz w:val="32"/>
          <w:szCs w:val="32"/>
          <w:lang w:val="zh-CN"/>
          <w14:textFill>
            <w14:solidFill>
              <w14:schemeClr w14:val="tx1"/>
            </w14:solidFill>
          </w14:textFill>
        </w:rPr>
      </w:pPr>
    </w:p>
    <w:p w14:paraId="1F5E759B">
      <w:pPr>
        <w:keepNext w:val="0"/>
        <w:keepLines w:val="0"/>
        <w:pageBreakBefore w:val="0"/>
        <w:widowControl/>
        <w:kinsoku/>
        <w:wordWrap/>
        <w:overflowPunct/>
        <w:topLinePunct w:val="0"/>
        <w:autoSpaceDE/>
        <w:bidi w:val="0"/>
        <w:adjustRightInd/>
        <w:spacing w:line="640" w:lineRule="exact"/>
        <w:textAlignment w:val="auto"/>
        <w:rPr>
          <w:rFonts w:hint="eastAsia" w:ascii="仿宋" w:hAnsi="仿宋" w:eastAsia="仿宋" w:cs="仿宋"/>
          <w:b/>
          <w:color w:val="000000" w:themeColor="text1"/>
          <w:kern w:val="0"/>
          <w:sz w:val="32"/>
          <w:szCs w:val="32"/>
          <w:lang w:val="zh-CN"/>
          <w14:textFill>
            <w14:solidFill>
              <w14:schemeClr w14:val="tx1"/>
            </w14:solidFill>
          </w14:textFill>
        </w:rPr>
      </w:pPr>
    </w:p>
    <w:p w14:paraId="47D55E1E">
      <w:pPr>
        <w:keepNext w:val="0"/>
        <w:keepLines w:val="0"/>
        <w:pageBreakBefore w:val="0"/>
        <w:shd w:val="solid" w:color="FFFFFF" w:fill="auto"/>
        <w:kinsoku/>
        <w:wordWrap/>
        <w:overflowPunct/>
        <w:topLinePunct w:val="0"/>
        <w:autoSpaceDE/>
        <w:autoSpaceDN w:val="0"/>
        <w:bidi w:val="0"/>
        <w:adjustRightInd/>
        <w:spacing w:line="640" w:lineRule="exact"/>
        <w:ind w:right="-7"/>
        <w:jc w:val="center"/>
        <w:textAlignment w:val="auto"/>
        <w:rPr>
          <w:rFonts w:ascii="宋体" w:hAnsi="宋体" w:eastAsia="宋体" w:cs="仿宋"/>
          <w:b/>
          <w:bCs/>
          <w:color w:val="000000" w:themeColor="text1"/>
          <w:kern w:val="0"/>
          <w:sz w:val="44"/>
          <w:szCs w:val="44"/>
          <w14:textFill>
            <w14:solidFill>
              <w14:schemeClr w14:val="tx1"/>
            </w14:solidFill>
          </w14:textFill>
        </w:rPr>
      </w:pPr>
      <w:r>
        <w:rPr>
          <w:rFonts w:ascii="宋体" w:hAnsi="宋体" w:eastAsia="宋体" w:cs="仿宋"/>
          <w:b/>
          <w:bCs/>
          <w:color w:val="000000" w:themeColor="text1"/>
          <w:kern w:val="0"/>
          <w:sz w:val="44"/>
          <w:szCs w:val="44"/>
          <w14:textFill>
            <w14:solidFill>
              <w14:schemeClr w14:val="tx1"/>
            </w14:solidFill>
          </w14:textFill>
        </w:rPr>
        <w:t>关于</w:t>
      </w:r>
      <w:r>
        <w:rPr>
          <w:rFonts w:hint="eastAsia" w:ascii="宋体" w:hAnsi="宋体" w:eastAsia="宋体" w:cs="仿宋"/>
          <w:b/>
          <w:bCs/>
          <w:color w:val="000000" w:themeColor="text1"/>
          <w:kern w:val="0"/>
          <w:sz w:val="44"/>
          <w:szCs w:val="44"/>
          <w14:textFill>
            <w14:solidFill>
              <w14:schemeClr w14:val="tx1"/>
            </w14:solidFill>
          </w14:textFill>
        </w:rPr>
        <w:t>举办</w:t>
      </w:r>
      <w:r>
        <w:rPr>
          <w:rFonts w:ascii="宋体" w:hAnsi="宋体" w:eastAsia="宋体" w:cs="仿宋"/>
          <w:b/>
          <w:bCs/>
          <w:color w:val="000000" w:themeColor="text1"/>
          <w:kern w:val="0"/>
          <w:sz w:val="44"/>
          <w:szCs w:val="44"/>
          <w14:textFill>
            <w14:solidFill>
              <w14:schemeClr w14:val="tx1"/>
            </w14:solidFill>
          </w14:textFill>
        </w:rPr>
        <w:t>第十七届“工行杯”全国大学生金融科技创新大赛校赛的通知</w:t>
      </w:r>
    </w:p>
    <w:p w14:paraId="1CEB9466">
      <w:pPr>
        <w:keepNext w:val="0"/>
        <w:keepLines w:val="0"/>
        <w:pageBreakBefore w:val="0"/>
        <w:widowControl w:val="0"/>
        <w:kinsoku/>
        <w:wordWrap/>
        <w:overflowPunct/>
        <w:topLinePunct w:val="0"/>
        <w:autoSpaceDE/>
        <w:autoSpaceDN/>
        <w:bidi w:val="0"/>
        <w:adjustRightInd/>
        <w:snapToGrid/>
        <w:spacing w:after="160" w:line="560" w:lineRule="exact"/>
        <w:jc w:val="left"/>
        <w:textAlignment w:val="auto"/>
        <w:rPr>
          <w:rFonts w:hint="eastAsia" w:ascii="仿宋" w:hAnsi="仿宋" w:eastAsia="仿宋" w:cs="仿宋"/>
          <w:sz w:val="32"/>
          <w:szCs w:val="32"/>
          <w14:ligatures w14:val="standardContextual"/>
        </w:rPr>
      </w:pPr>
    </w:p>
    <w:p w14:paraId="14A8DCA2">
      <w:pPr>
        <w:keepNext w:val="0"/>
        <w:keepLines w:val="0"/>
        <w:pageBreakBefore w:val="0"/>
        <w:widowControl w:val="0"/>
        <w:kinsoku/>
        <w:wordWrap/>
        <w:overflowPunct/>
        <w:topLinePunct w:val="0"/>
        <w:autoSpaceDE/>
        <w:autoSpaceDN/>
        <w:bidi w:val="0"/>
        <w:adjustRightInd/>
        <w:snapToGrid/>
        <w:spacing w:after="160" w:line="560" w:lineRule="exact"/>
        <w:jc w:val="left"/>
        <w:textAlignment w:val="auto"/>
        <w:rPr>
          <w:rFonts w:hint="eastAsia" w:ascii="仿宋" w:hAnsi="仿宋" w:eastAsia="仿宋" w:cs="仿宋"/>
          <w:sz w:val="32"/>
          <w:szCs w:val="32"/>
          <w14:ligatures w14:val="standardContextual"/>
        </w:rPr>
      </w:pPr>
      <w:r>
        <w:rPr>
          <w:rFonts w:hint="eastAsia" w:ascii="仿宋" w:hAnsi="仿宋" w:eastAsia="仿宋" w:cs="仿宋"/>
          <w:sz w:val="32"/>
          <w:szCs w:val="32"/>
          <w14:ligatures w14:val="standardContextual"/>
        </w:rPr>
        <w:t>各学院：</w:t>
      </w:r>
    </w:p>
    <w:p w14:paraId="5F887C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深入推进金融素养教育，强化大学生创新思维与实践能力培养，引导学生聚焦金融科技前沿问题，积极参与学科竞赛实践，根据第十七届“工行杯”全国大学生金融科技创新大赛赛事总体安排，将组织我校学生参与本次大赛初赛。现将有关事项通知如下：</w:t>
      </w:r>
    </w:p>
    <w:p w14:paraId="120E4ED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一、赛事简介</w:t>
      </w:r>
    </w:p>
    <w:p w14:paraId="49F41E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工行杯”全国大学生金融科技创新大赛是面向全国高校大学生开展的金融科技类品牌竞赛活动，旨在鼓励大学生立足金融现实场景，运用金融、大数据、信息技术等多学科知识开展创新设计，产出兼具现实意义与创新价值的参赛作品，提升大学生理论应用、团队协作与创新创业综合能力。本次我院直接对接大赛初赛流程，初赛成绩即为我校校赛成绩，择优推荐优秀队伍晋级省级赛事。</w:t>
      </w:r>
    </w:p>
    <w:p w14:paraId="3533663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组织单位</w:t>
      </w:r>
    </w:p>
    <w:p w14:paraId="0FE460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主办单位：皖江工学院教务处</w:t>
      </w:r>
    </w:p>
    <w:p w14:paraId="4746F0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承办单位：皖江工学院财经学院</w:t>
      </w:r>
    </w:p>
    <w:p w14:paraId="077BB3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竞赛负责人：李筠庭</w:t>
      </w:r>
    </w:p>
    <w:p w14:paraId="2F9A419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三、参赛对象</w:t>
      </w:r>
    </w:p>
    <w:p w14:paraId="4BD386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皖江工学院全日制在校本科生，鼓励跨自由组队参赛。</w:t>
      </w:r>
    </w:p>
    <w:p w14:paraId="0CD67A5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四、竞赛形式</w:t>
      </w:r>
    </w:p>
    <w:p w14:paraId="1B1F822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（一）组队规则</w:t>
      </w:r>
    </w:p>
    <w:p w14:paraId="22D07D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参赛可个人参赛或团队参赛，团队参赛人数最多3人，全员均需在官网注册，同时必须确定1名队长（队长），由队长完成作品上传、信息填报、赛事沟通；每支队伍可配备不超过2名指导教师。</w:t>
      </w:r>
    </w:p>
    <w:p w14:paraId="336DD9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每名参赛选手仅允许参与1份作品，不可同时在多支队伍任职，不允许一人提交多份作品；团队报名由队长完成全部成员信息填报，所有队员均需要完成大赛平台注册；队员信息填报务必真实准确，信息造假将直接取消队伍参赛资格。</w:t>
      </w:r>
    </w:p>
    <w:p w14:paraId="182BA19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（二）参赛选题方向</w:t>
      </w:r>
    </w:p>
    <w:p w14:paraId="0C02DA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参赛作品必须从以下十大方向选择赛道开展创作：科技金融、绿色金融、普惠金融、养老金融、数字金融、金融安全服务、特色金融服务、财富管理服务、青年群体服务、开放创新服务。</w:t>
      </w:r>
    </w:p>
    <w:p w14:paraId="5CE39C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作品立足现实金融业务场景，方案需要具备现实意义、创新性与落地可行性。</w:t>
      </w:r>
    </w:p>
    <w:p w14:paraId="2301BC6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（三）作品内容与原创规范</w:t>
      </w:r>
    </w:p>
    <w:p w14:paraId="14A6AE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参赛作品为商业创新方案，按照大赛初赛要求准备商业计划书。作品必须为原创成果，严禁抄袭、剽窃、洗稿、编造数据，严禁侵犯第三方知识产权；引用参考内容必须在材料中标注来源。一旦查实学术不端、版权纠纷问题，大赛组委会及学院直接取消参赛资格，一切后果由参赛团队自行承担；若作品涉及专利，晋级后须按大赛要求向组委会申报。</w:t>
      </w:r>
    </w:p>
    <w:p w14:paraId="598B50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作品内容不得含有违法违规内容，不得涉及虚假商业宣传。</w:t>
      </w:r>
    </w:p>
    <w:p w14:paraId="50A67EE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（四）报名与作品提交流程</w:t>
      </w:r>
    </w:p>
    <w:p w14:paraId="1E5FBF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官方平台报名：参赛队伍登录大赛官网www.gonghangbei.com（PC端），或关注公众号“工行杯大学生金融科技创新大赛”跳转官网完成注册报名，由队长在个人中心上传完整参赛作品，以大赛平台成功提交为准，逾期平台关闭视为自动放弃参赛资格。</w:t>
      </w:r>
    </w:p>
    <w:p w14:paraId="5A496CE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各队需于9月30日24:00前在官网系统提交作品，同时再发计划书word和PDF版本各一份到邮箱</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"mailto:1531481055@qq.com" </w:instrText>
      </w:r>
      <w:r>
        <w:rPr>
          <w:rFonts w:hint="eastAsia" w:ascii="仿宋" w:hAnsi="仿宋" w:eastAsia="仿宋" w:cs="仿宋"/>
          <w:sz w:val="32"/>
          <w:szCs w:val="32"/>
        </w:rPr>
        <w:fldChar w:fldCharType="separate"/>
      </w:r>
      <w:r>
        <w:rPr>
          <w:rStyle w:val="8"/>
          <w:rFonts w:hint="eastAsia" w:ascii="仿宋" w:hAnsi="仿宋" w:eastAsia="仿宋" w:cs="仿宋"/>
          <w:b/>
          <w:bCs/>
          <w:sz w:val="32"/>
          <w:szCs w:val="32"/>
          <w:u w:val="none"/>
        </w:rPr>
        <w:t>1531481055@qq.com</w:t>
      </w:r>
      <w:r>
        <w:rPr>
          <w:rStyle w:val="8"/>
          <w:rFonts w:hint="eastAsia" w:ascii="仿宋" w:hAnsi="仿宋" w:eastAsia="仿宋" w:cs="仿宋"/>
          <w:b/>
          <w:bCs/>
          <w:sz w:val="32"/>
          <w:szCs w:val="32"/>
          <w:u w:val="none"/>
        </w:rPr>
        <w:fldChar w:fldCharType="end"/>
      </w:r>
      <w:r>
        <w:rPr>
          <w:rFonts w:hint="eastAsia" w:ascii="仿宋" w:hAnsi="仿宋" w:eastAsia="仿宋" w:cs="仿宋"/>
          <w:sz w:val="32"/>
          <w:szCs w:val="32"/>
        </w:rPr>
        <w:t>（文件以</w:t>
      </w:r>
      <w:bookmarkStart w:id="0" w:name="_GoBack"/>
      <w:bookmarkEnd w:id="0"/>
      <w:r>
        <w:rPr>
          <w:rFonts w:hint="eastAsia" w:ascii="仿宋" w:hAnsi="仿宋" w:eastAsia="仿宋" w:cs="仿宋"/>
          <w:sz w:val="32"/>
          <w:szCs w:val="32"/>
        </w:rPr>
        <w:t>2026工行杯+项目名命名，作品封面要有团队成员及指导老师信息），竞赛由专家组完成作品评定。</w:t>
      </w:r>
    </w:p>
    <w:p w14:paraId="4DE382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校内备案：完成官网报名提交后，请队长填写学院备案统计表（另行下发）报送竞赛负责老师，完成校内备案，用于学院统计、校赛成绩认定、校级证书发放、省赛遴选，只在官网提交未做校内备案，不纳入我校校赛统计范围。</w:t>
      </w:r>
    </w:p>
    <w:p w14:paraId="2C163F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在大赛截止时间前，已上传作品允许修改、重新上传，以截止前最终版本作为评审版本。</w:t>
      </w:r>
    </w:p>
    <w:p w14:paraId="6CA191E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（五）校赛认定规则</w:t>
      </w:r>
    </w:p>
    <w:p w14:paraId="0D67C9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校赛成绩完全采用大赛初赛评审得分，学院根据初赛得分排序认定校级一、二、三等奖及优秀奖，颁发校级竞赛证书；在初赛优秀队伍中择优遴选，推荐参加省赛阶段比赛。</w:t>
      </w:r>
    </w:p>
    <w:p w14:paraId="61A53C0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五、赛程时间</w:t>
      </w:r>
    </w:p>
    <w:p w14:paraId="1AFC64F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报名及初赛作品提交：2026年9月30日截止</w:t>
      </w:r>
    </w:p>
    <w:p w14:paraId="5FBAD0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初赛评审、校赛成绩统计：初赛评审结束后开展校内成绩梳理与奖项认定</w:t>
      </w:r>
    </w:p>
    <w:p w14:paraId="1CEBAC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省赛推荐报送：根据大赛省赛工作安排完成优秀队伍推荐</w:t>
      </w:r>
    </w:p>
    <w:p w14:paraId="184FA60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六、相关说明</w:t>
      </w:r>
    </w:p>
    <w:p w14:paraId="42A252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请各参赛同学务必仔细研读大赛官方发布的初赛通知，吃透命题规则、提交格式、截止时间等关键信息，错过平台提交时间将视为自动放弃参赛。</w:t>
      </w:r>
    </w:p>
    <w:p w14:paraId="684517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学院将做好赛事咨询、政策解读、参赛动员工作，同学们在备赛过程中有疑问，可联系学院竞赛负责老师咨询。</w:t>
      </w:r>
    </w:p>
    <w:p w14:paraId="3D9EB4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rPr>
        <w:t>希望广大同学积极踊跃报名，充分发挥专业所学，大胆创新，高质量完成参赛作品，借助本次大赛锤炼专业实践本领，展现财经学子良好风貌。</w:t>
      </w:r>
    </w:p>
    <w:p w14:paraId="0C7647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w:t>
      </w:r>
      <w:r>
        <w:rPr>
          <w:rFonts w:hint="eastAsia" w:ascii="仿宋" w:hAnsi="仿宋" w:eastAsia="仿宋" w:cs="仿宋"/>
          <w:sz w:val="32"/>
          <w:szCs w:val="32"/>
        </w:rPr>
        <w:t>请参赛同学加入校赛官方QQ群：</w:t>
      </w:r>
    </w:p>
    <w:p w14:paraId="30B05EE7">
      <w:pPr>
        <w:spacing w:line="360" w:lineRule="auto"/>
        <w:ind w:firstLine="640" w:firstLineChars="200"/>
        <w:jc w:val="center"/>
        <w:rPr>
          <w:rFonts w:ascii="仿宋" w:hAnsi="仿宋" w:eastAsia="仿宋" w:cs="Times New Roman"/>
          <w:sz w:val="32"/>
          <w:szCs w:val="32"/>
        </w:rPr>
      </w:pPr>
      <w:r>
        <w:rPr>
          <w:rFonts w:ascii="仿宋" w:hAnsi="仿宋" w:eastAsia="仿宋"/>
          <w:sz w:val="32"/>
          <w:szCs w:val="32"/>
        </w:rPr>
        <w:drawing>
          <wp:inline distT="0" distB="0" distL="114300" distR="114300">
            <wp:extent cx="2927985" cy="3820160"/>
            <wp:effectExtent l="0" t="0" r="18415"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2927985" cy="3820160"/>
                    </a:xfrm>
                    <a:prstGeom prst="rect">
                      <a:avLst/>
                    </a:prstGeom>
                  </pic:spPr>
                </pic:pic>
              </a:graphicData>
            </a:graphic>
          </wp:inline>
        </w:drawing>
      </w:r>
    </w:p>
    <w:p w14:paraId="27F028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Times New Roman"/>
          <w:sz w:val="32"/>
          <w:szCs w:val="32"/>
        </w:rPr>
      </w:pPr>
    </w:p>
    <w:p w14:paraId="22B6E8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Times New Roman"/>
          <w:sz w:val="32"/>
          <w:szCs w:val="32"/>
        </w:rPr>
      </w:pPr>
    </w:p>
    <w:p w14:paraId="715F11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Times New Roman"/>
          <w:sz w:val="32"/>
          <w:szCs w:val="32"/>
        </w:rPr>
      </w:pPr>
    </w:p>
    <w:p w14:paraId="793587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ascii="仿宋" w:hAnsi="仿宋" w:eastAsia="仿宋" w:cs="Times New Roman"/>
          <w:sz w:val="32"/>
          <w:szCs w:val="32"/>
        </w:rPr>
      </w:pPr>
      <w:r>
        <w:rPr>
          <w:rFonts w:ascii="仿宋" w:hAnsi="仿宋" w:eastAsia="仿宋" w:cs="Times New Roman"/>
          <w:sz w:val="32"/>
          <w:szCs w:val="32"/>
        </w:rPr>
        <w:t>皖江工学院</w:t>
      </w:r>
      <w:r>
        <w:rPr>
          <w:rFonts w:hint="eastAsia" w:ascii="仿宋" w:hAnsi="仿宋" w:eastAsia="仿宋" w:cs="Times New Roman"/>
          <w:sz w:val="32"/>
          <w:szCs w:val="32"/>
        </w:rPr>
        <w:t>教务处</w:t>
      </w:r>
    </w:p>
    <w:p w14:paraId="26BA1EA0">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760" w:firstLineChars="1800"/>
        <w:jc w:val="right"/>
        <w:textAlignment w:val="auto"/>
        <w:rPr>
          <w:sz w:val="32"/>
          <w:szCs w:val="32"/>
          <w:shd w:val="clear" w:color="auto" w:fill="FFFFFF"/>
        </w:rPr>
      </w:pPr>
      <w:r>
        <w:rPr>
          <w:rFonts w:ascii="仿宋" w:hAnsi="仿宋" w:eastAsia="仿宋"/>
          <w:sz w:val="32"/>
          <w:szCs w:val="32"/>
        </w:rPr>
        <w:t>2026年9月</w:t>
      </w:r>
      <w:r>
        <w:rPr>
          <w:rFonts w:hint="eastAsia" w:ascii="仿宋" w:hAnsi="仿宋" w:eastAsia="仿宋"/>
          <w:sz w:val="32"/>
          <w:szCs w:val="32"/>
        </w:rPr>
        <w:t>8日</w:t>
      </w:r>
    </w:p>
    <w:p w14:paraId="4D359480">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sz w:val="32"/>
          <w:szCs w:val="32"/>
          <w:shd w:val="clear" w:color="auto" w:fill="FFFFFF"/>
        </w:rPr>
      </w:pPr>
    </w:p>
    <w:p w14:paraId="1B8ECB11">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sz w:val="32"/>
          <w:szCs w:val="32"/>
          <w:shd w:val="clear" w:color="auto" w:fill="FFFFFF"/>
        </w:rPr>
      </w:pPr>
    </w:p>
    <w:p w14:paraId="47E007B6">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sz w:val="32"/>
          <w:szCs w:val="32"/>
          <w:shd w:val="clear" w:color="auto" w:fill="FFFFFF"/>
        </w:rPr>
      </w:pPr>
    </w:p>
    <w:p w14:paraId="5011197A">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sz w:val="32"/>
          <w:szCs w:val="32"/>
          <w:shd w:val="clear" w:color="auto" w:fill="FFFFFF"/>
        </w:rPr>
      </w:pPr>
    </w:p>
    <w:p w14:paraId="3B0B300B">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sz w:val="32"/>
          <w:szCs w:val="32"/>
          <w:shd w:val="clear" w:color="auto" w:fill="FFFFFF"/>
        </w:rPr>
      </w:pPr>
    </w:p>
    <w:p w14:paraId="373EDDDA">
      <w:pPr>
        <w:pStyle w:val="5"/>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sz w:val="32"/>
          <w:szCs w:val="32"/>
          <w:shd w:val="clear" w:color="auto" w:fill="FFFFFF"/>
        </w:rPr>
      </w:pPr>
    </w:p>
    <w:p w14:paraId="159953B1">
      <w:pPr>
        <w:spacing w:line="480" w:lineRule="exact"/>
        <w:ind w:firstLine="280" w:firstLineChars="100"/>
        <w:rPr>
          <w:rFonts w:hint="eastAsia" w:ascii="仿宋" w:hAnsi="仿宋" w:eastAsia="仿宋" w:cs="仿宋"/>
          <w:sz w:val="28"/>
          <w:szCs w:val="28"/>
          <w:shd w:val="clear" w:color="auto" w:fill="FFFFFF"/>
        </w:rPr>
      </w:pPr>
      <w:r>
        <w:rPr>
          <w:rFonts w:hint="eastAsia" w:ascii="仿宋" w:hAnsi="仿宋" w:eastAsia="仿宋" w:cs="仿宋"/>
          <w:color w:val="000000" w:themeColor="text1"/>
          <w:sz w:val="28"/>
          <w:szCs w:val="28"/>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-8255</wp:posOffset>
                </wp:positionH>
                <wp:positionV relativeFrom="paragraph">
                  <wp:posOffset>352425</wp:posOffset>
                </wp:positionV>
                <wp:extent cx="52578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65pt;margin-top:27.75pt;height:0.05pt;width:414pt;z-index:251661312;mso-width-relative:page;mso-height-relative:page;" filled="f" stroked="t" coordsize="21600,21600" o:gfxdata="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VXJ5TXAAAACAEAAA8AAAAAAAAAAQAgAAAAIgAAAGRycy9kb3ducmV2LnhtbFBLAQIUABQA&#10;AAAIAIdO4kCbxlxb8QEAAOgDAAAOAAAAAAAAAAEAIAAAACYBAABkcnMvZTJvRG9jLnhtbFBLBQYA&#10;AAAABgAGAFkBAACJBQAAAAA=&#10;">
                <v:fill on="f" focussize="0,0"/>
                <v:stroke color="#000000" joinstyle="round"/>
                <v:imagedata o:title=""/>
                <o:lock v:ext="edit" aspectratio="f"/>
              </v:line>
            </w:pict>
          </mc:Fallback>
        </mc:AlternateContent>
      </w:r>
      <w:r>
        <w:rPr>
          <w:rFonts w:hint="eastAsia" w:ascii="仿宋" w:hAnsi="仿宋" w:eastAsia="仿宋" w:cs="仿宋"/>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57800" cy="0"/>
                <wp:effectExtent l="0" t="4445" r="0" b="5080"/>
                <wp:wrapNone/>
                <wp:docPr id="6" name="直接连接符 6"/>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60288;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JYVf9&#10;0AAAAAIBAAAPAAAAAAAAAAEAIAAAACIAAABkcnMvZG93bnJldi54bWxQSwECFAAUAAAACACHTuJA&#10;B2aRe/ABAADmAwAADgAAAAAAAAABACAAAAAfAQAAZHJzL2Uyb0RvYy54bWxQSwUGAAAAAAYABgBZ&#10;AQAAgQUAAAAA&#10;">
                <v:fill on="f" focussize="0,0"/>
                <v:stroke color="#000000" joinstyle="round"/>
                <v:imagedata o:title=""/>
                <o:lock v:ext="edit" aspectratio="f"/>
              </v:line>
            </w:pict>
          </mc:Fallback>
        </mc:AlternateContent>
      </w:r>
      <w:r>
        <w:rPr>
          <w:rFonts w:hint="eastAsia" w:ascii="仿宋" w:hAnsi="仿宋" w:eastAsia="仿宋" w:cs="仿宋"/>
          <w:color w:val="000000" w:themeColor="text1"/>
          <w:sz w:val="28"/>
          <w:szCs w:val="28"/>
          <w14:textFill>
            <w14:solidFill>
              <w14:schemeClr w14:val="tx1"/>
            </w14:solidFill>
          </w14:textFill>
        </w:rPr>
        <w:t>皖江工学院教务处                     2026年9月8日印发</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ingFang SC">
    <w:altName w:val="宋体"/>
    <w:panose1 w:val="00000000000000000000"/>
    <w:charset w:val="86"/>
    <w:family w:val="auto"/>
    <w:pitch w:val="default"/>
    <w:sig w:usb0="00000000" w:usb1="00000000" w:usb2="00000017" w:usb3="00000000" w:csb0="00040001" w:csb1="00000000"/>
  </w:font>
  <w:font w:name="仿宋">
    <w:panose1 w:val="02010609060101010101"/>
    <w:charset w:val="86"/>
    <w:family w:val="modern"/>
    <w:pitch w:val="default"/>
    <w:sig w:usb0="800002BF" w:usb1="38CF7CFA" w:usb2="00000016" w:usb3="00000000" w:csb0="00040001" w:csb1="00000000"/>
  </w:font>
  <w:font w:name="汉仪大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B2B3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9FD03A6">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9FD03A6">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77D5E0"/>
    <w:multiLevelType w:val="singleLevel"/>
    <w:tmpl w:val="FA77D5E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0E7E16"/>
    <w:rsid w:val="004C2071"/>
    <w:rsid w:val="005D5EA2"/>
    <w:rsid w:val="009E7E98"/>
    <w:rsid w:val="00D22311"/>
    <w:rsid w:val="00D23E1E"/>
    <w:rsid w:val="1EB1F092"/>
    <w:rsid w:val="250E7E16"/>
    <w:rsid w:val="4BA72BF9"/>
    <w:rsid w:val="5A316448"/>
    <w:rsid w:val="5CDBB4C5"/>
    <w:rsid w:val="705D0328"/>
    <w:rsid w:val="73FF4416"/>
    <w:rsid w:val="76DDDD6D"/>
    <w:rsid w:val="797D84DF"/>
    <w:rsid w:val="7DEDB686"/>
    <w:rsid w:val="7FDE1039"/>
    <w:rsid w:val="87DE45E8"/>
    <w:rsid w:val="9DE6913A"/>
    <w:rsid w:val="9F8BE9F4"/>
    <w:rsid w:val="BBDB52A8"/>
    <w:rsid w:val="DDFA9003"/>
    <w:rsid w:val="DEC514B6"/>
    <w:rsid w:val="DEEF084B"/>
    <w:rsid w:val="FEADE319"/>
    <w:rsid w:val="FFEC3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semiHidden/>
    <w:qFormat/>
    <w:uiPriority w:val="0"/>
    <w:rPr>
      <w:rFonts w:ascii="PingFang SC" w:hAnsi="PingFang SC" w:eastAsia="PingFang SC" w:cs="PingFang SC"/>
      <w:sz w:val="28"/>
      <w:szCs w:val="28"/>
      <w:lang w:eastAsia="en-US"/>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character" w:styleId="8">
    <w:name w:val="Hyperlink"/>
    <w:basedOn w:val="7"/>
    <w:uiPriority w:val="0"/>
    <w:rPr>
      <w:color w:val="0000FF"/>
      <w:u w:val="single"/>
    </w:rPr>
  </w:style>
  <w:style w:type="paragraph" w:styleId="9">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1658</Words>
  <Characters>1725</Characters>
  <Lines>68</Lines>
  <Paragraphs>59</Paragraphs>
  <TotalTime>1</TotalTime>
  <ScaleCrop>false</ScaleCrop>
  <LinksUpToDate>false</LinksUpToDate>
  <CharactersWithSpaces>1752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2026-09-08T06:35:00Z</dcterms:created>
  <dc:creator>大太阳</dc:creator>
  <cp:lastModifiedBy>心情盒子</cp:lastModifiedBy>
  <dcterms:modified xsi:type="dcterms:W3CDTF">2026-09-08T06:59:11Z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B4AED4E66FFE27FAE4A69E6AD49424CA_43</vt:lpwstr>
  </property>
  <property fmtid="{D5CDD505-2E9C-101B-9397-08002B2CF9AE}" pid="4" name="KSOTemplateDocerSaveRecord">
    <vt:lpwstr>eyJoZGlkIjoiOTVkYmM1MDJjMGMwYjczNzM3MDMxNTg4NmM2MGE2MGMiLCJ1c2VySWQiOiI2OTYwMTEyMzUifQ==</vt:lpwstr>
  </property>
</Properties>
</file>