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865388">
      <w:pPr>
        <w:widowControl/>
        <w:shd w:val="clear" w:color="auto" w:fill="FFFFFF"/>
        <w:adjustRightInd w:val="0"/>
        <w:snapToGrid w:val="0"/>
        <w:spacing w:line="560" w:lineRule="exact"/>
        <w:jc w:val="left"/>
        <w:rPr>
          <w:rFonts w:hint="eastAsia" w:ascii="仿宋" w:hAnsi="仿宋" w:eastAsia="仿宋" w:cs="仿宋"/>
          <w:kern w:val="0"/>
          <w:sz w:val="32"/>
          <w:szCs w:val="32"/>
          <w:shd w:val="clear" w:color="auto" w:fill="FFFFFF"/>
          <w:lang w:val="en-US" w:eastAsia="zh-CN" w:bidi="ar"/>
        </w:rPr>
      </w:pPr>
      <w:r>
        <w:rPr>
          <w:rFonts w:hint="eastAsia" w:ascii="仿宋" w:hAnsi="仿宋" w:eastAsia="仿宋" w:cs="仿宋"/>
          <w:kern w:val="0"/>
          <w:sz w:val="32"/>
          <w:szCs w:val="32"/>
          <w:shd w:val="clear" w:color="auto" w:fill="FFFFFF"/>
          <w:lang w:val="en-US" w:eastAsia="zh-CN" w:bidi="ar"/>
        </w:rPr>
        <w:t>附件</w:t>
      </w:r>
    </w:p>
    <w:p w14:paraId="499CA474">
      <w:pPr>
        <w:widowControl/>
        <w:shd w:val="clear" w:color="auto" w:fill="FFFFFF"/>
        <w:adjustRightInd w:val="0"/>
        <w:snapToGrid w:val="0"/>
        <w:spacing w:line="560" w:lineRule="exact"/>
        <w:jc w:val="center"/>
        <w:rPr>
          <w:rFonts w:hint="eastAsia" w:ascii="方正小标宋简体" w:hAnsi="方正小标宋简体" w:eastAsia="方正小标宋简体" w:cs="方正小标宋简体"/>
          <w:kern w:val="0"/>
          <w:sz w:val="44"/>
          <w:szCs w:val="44"/>
          <w:shd w:val="clear" w:color="auto" w:fill="FFFFFF"/>
          <w:lang w:bidi="ar"/>
        </w:rPr>
      </w:pPr>
      <w:r>
        <w:rPr>
          <w:rFonts w:hint="eastAsia" w:ascii="方正小标宋简体" w:hAnsi="方正小标宋简体" w:eastAsia="方正小标宋简体" w:cs="方正小标宋简体"/>
          <w:kern w:val="0"/>
          <w:sz w:val="44"/>
          <w:szCs w:val="44"/>
          <w:shd w:val="clear" w:color="auto" w:fill="FFFFFF"/>
          <w:lang w:bidi="ar"/>
        </w:rPr>
        <w:t>2026年安徽省大学生ERP数智化运营</w:t>
      </w:r>
    </w:p>
    <w:p w14:paraId="3F72669E">
      <w:pPr>
        <w:widowControl/>
        <w:shd w:val="clear" w:color="auto" w:fill="FFFFFF"/>
        <w:adjustRightInd w:val="0"/>
        <w:snapToGrid w:val="0"/>
        <w:spacing w:line="560" w:lineRule="exact"/>
        <w:jc w:val="center"/>
        <w:rPr>
          <w:rFonts w:hint="eastAsia" w:ascii="方正小标宋简体" w:hAnsi="方正小标宋简体" w:eastAsia="方正小标宋简体" w:cs="方正小标宋简体"/>
          <w:sz w:val="44"/>
          <w:szCs w:val="44"/>
        </w:rPr>
      </w:pPr>
      <w:bookmarkStart w:id="2" w:name="_GoBack"/>
      <w:bookmarkEnd w:id="2"/>
      <w:r>
        <w:rPr>
          <w:rFonts w:hint="eastAsia" w:ascii="方正小标宋简体" w:hAnsi="方正小标宋简体" w:eastAsia="方正小标宋简体" w:cs="方正小标宋简体"/>
          <w:kern w:val="0"/>
          <w:sz w:val="44"/>
          <w:szCs w:val="44"/>
          <w:shd w:val="clear" w:color="auto" w:fill="FFFFFF"/>
          <w:lang w:bidi="ar"/>
        </w:rPr>
        <w:t>大赛赛项规程</w:t>
      </w:r>
    </w:p>
    <w:p w14:paraId="00DB976B">
      <w:pPr>
        <w:pStyle w:val="5"/>
        <w:widowControl/>
        <w:shd w:val="clear" w:color="auto" w:fill="FFFFFF"/>
        <w:adjustRightInd w:val="0"/>
        <w:snapToGrid w:val="0"/>
        <w:spacing w:beforeAutospacing="0" w:afterAutospacing="0" w:line="560" w:lineRule="exact"/>
        <w:jc w:val="both"/>
        <w:rPr>
          <w:rFonts w:hint="eastAsia" w:ascii="微软雅黑" w:hAnsi="微软雅黑" w:eastAsia="微软雅黑" w:cs="微软雅黑"/>
        </w:rPr>
      </w:pPr>
    </w:p>
    <w:p w14:paraId="5C5E5A68">
      <w:pPr>
        <w:widowControl/>
        <w:shd w:val="clear" w:color="auto" w:fill="FFFFFF"/>
        <w:adjustRightInd w:val="0"/>
        <w:snapToGrid w:val="0"/>
        <w:spacing w:line="560" w:lineRule="exact"/>
        <w:ind w:firstLine="960"/>
        <w:jc w:val="left"/>
        <w:outlineLvl w:val="0"/>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一、赛项名称</w:t>
      </w:r>
    </w:p>
    <w:p w14:paraId="61361A99">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outlineLvl w:val="1"/>
        <w:rPr>
          <w:rFonts w:ascii="Times New Roman" w:hAnsi="Times New Roman" w:cs="Times New Roman"/>
          <w:sz w:val="24"/>
        </w:rPr>
      </w:pPr>
      <w:r>
        <w:rPr>
          <w:rFonts w:ascii="仿宋_GB2312" w:hAnsi="Times New Roman" w:eastAsia="仿宋_GB2312" w:cs="仿宋_GB2312"/>
          <w:kern w:val="0"/>
          <w:sz w:val="32"/>
          <w:szCs w:val="32"/>
          <w:shd w:val="clear" w:color="auto" w:fill="FFFFFF"/>
          <w:lang w:bidi="ar"/>
        </w:rPr>
        <w:t>赛项名称：</w:t>
      </w:r>
      <w:r>
        <w:rPr>
          <w:rFonts w:hint="eastAsia" w:ascii="仿宋_GB2312" w:hAnsi="仿宋_GB2312" w:eastAsia="仿宋_GB2312" w:cs="仿宋_GB2312"/>
          <w:sz w:val="32"/>
          <w:szCs w:val="32"/>
        </w:rPr>
        <w:t>安徽省大学生ERP数智化运营大赛</w:t>
      </w:r>
    </w:p>
    <w:p w14:paraId="132EBF08">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Times New Roman" w:eastAsia="仿宋_GB2312" w:cs="仿宋_GB2312"/>
          <w:kern w:val="0"/>
          <w:sz w:val="32"/>
          <w:szCs w:val="32"/>
          <w:shd w:val="clear" w:color="auto" w:fill="FFFFFF"/>
          <w:lang w:bidi="ar"/>
        </w:rPr>
      </w:pPr>
      <w:r>
        <w:rPr>
          <w:rFonts w:ascii="仿宋_GB2312" w:hAnsi="Times New Roman" w:eastAsia="仿宋_GB2312" w:cs="仿宋_GB2312"/>
          <w:kern w:val="0"/>
          <w:sz w:val="32"/>
          <w:szCs w:val="32"/>
          <w:shd w:val="clear" w:color="auto" w:fill="FFFFFF"/>
          <w:lang w:bidi="ar"/>
        </w:rPr>
        <w:t>英语名称：</w:t>
      </w:r>
      <w:r>
        <w:rPr>
          <w:rFonts w:hint="eastAsia" w:ascii="仿宋_GB2312" w:hAnsi="Times New Roman" w:eastAsia="仿宋_GB2312" w:cs="仿宋_GB2312"/>
          <w:kern w:val="0"/>
          <w:sz w:val="32"/>
          <w:szCs w:val="32"/>
          <w:shd w:val="clear" w:color="auto" w:fill="FFFFFF"/>
          <w:lang w:bidi="ar"/>
        </w:rPr>
        <w:t>Anhui Provincial University Students ERP Digital Intelligent Operation Competition</w:t>
      </w:r>
    </w:p>
    <w:p w14:paraId="28E50019">
      <w:pPr>
        <w:widowControl/>
        <w:shd w:val="clear" w:color="auto" w:fill="FFFFFF"/>
        <w:adjustRightInd w:val="0"/>
        <w:snapToGrid w:val="0"/>
        <w:spacing w:line="560" w:lineRule="exact"/>
        <w:ind w:firstLine="960"/>
        <w:jc w:val="left"/>
        <w:outlineLvl w:val="0"/>
        <w:rPr>
          <w:rFonts w:hint="eastAsia" w:ascii="黑体" w:hAnsi="黑体" w:eastAsia="黑体" w:cs="黑体"/>
          <w:kern w:val="0"/>
          <w:sz w:val="32"/>
          <w:szCs w:val="32"/>
          <w:shd w:val="clear" w:color="auto" w:fill="FFFFFF"/>
          <w:lang w:bidi="ar"/>
        </w:rPr>
      </w:pPr>
      <w:r>
        <w:rPr>
          <w:rFonts w:ascii="黑体" w:hAnsi="黑体" w:eastAsia="黑体" w:cs="黑体"/>
          <w:kern w:val="0"/>
          <w:sz w:val="32"/>
          <w:szCs w:val="32"/>
          <w:shd w:val="clear" w:color="auto" w:fill="FFFFFF"/>
          <w:lang w:bidi="ar"/>
        </w:rPr>
        <w:t>二、竞赛组织机构</w:t>
      </w:r>
    </w:p>
    <w:p w14:paraId="4ACAF807">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Times New Roman" w:hAnsi="Times New Roman" w:cs="Times New Roman"/>
          <w:sz w:val="24"/>
        </w:rPr>
      </w:pPr>
      <w:r>
        <w:rPr>
          <w:rFonts w:ascii="仿宋_GB2312" w:hAnsi="Times New Roman" w:eastAsia="仿宋_GB2312" w:cs="仿宋_GB2312"/>
          <w:kern w:val="0"/>
          <w:sz w:val="32"/>
          <w:szCs w:val="32"/>
          <w:shd w:val="clear" w:color="auto" w:fill="FFFFFF"/>
          <w:lang w:bidi="ar"/>
        </w:rPr>
        <w:t>主办单位：安徽省教育厅</w:t>
      </w:r>
    </w:p>
    <w:p w14:paraId="4F0FB50B">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rPr>
          <w:rFonts w:ascii="仿宋_GB2312" w:hAnsi="Times New Roman" w:eastAsia="仿宋_GB2312" w:cs="仿宋_GB2312"/>
          <w:kern w:val="0"/>
          <w:sz w:val="32"/>
          <w:szCs w:val="32"/>
          <w:shd w:val="clear" w:color="auto" w:fill="FFFFFF"/>
          <w:lang w:bidi="ar"/>
        </w:rPr>
      </w:pPr>
      <w:r>
        <w:rPr>
          <w:rFonts w:ascii="仿宋_GB2312" w:hAnsi="Times New Roman" w:eastAsia="仿宋_GB2312" w:cs="仿宋_GB2312"/>
          <w:kern w:val="0"/>
          <w:sz w:val="32"/>
          <w:szCs w:val="32"/>
          <w:shd w:val="clear" w:color="auto" w:fill="FFFFFF"/>
          <w:lang w:bidi="ar"/>
        </w:rPr>
        <w:t>承办单位：</w:t>
      </w:r>
      <w:r>
        <w:rPr>
          <w:rFonts w:hint="eastAsia" w:ascii="仿宋_GB2312" w:eastAsia="仿宋_GB2312" w:cs="仿宋_GB2312"/>
          <w:color w:val="000000"/>
          <w:sz w:val="32"/>
          <w:szCs w:val="32"/>
          <w:shd w:val="clear" w:color="auto" w:fill="FFFFFF"/>
          <w:lang w:bidi="ar"/>
        </w:rPr>
        <w:t>合肥大学、安徽审计职业学院</w:t>
      </w:r>
    </w:p>
    <w:p w14:paraId="49208FD0">
      <w:pPr>
        <w:pStyle w:val="5"/>
        <w:widowControl/>
        <w:numPr>
          <w:ilvl w:val="0"/>
          <w:numId w:val="0"/>
        </w:numPr>
        <w:shd w:val="clear" w:color="auto" w:fill="FFFFFF"/>
        <w:adjustRightInd w:val="0"/>
        <w:snapToGrid w:val="0"/>
        <w:spacing w:beforeAutospacing="0" w:afterAutospacing="0" w:line="560" w:lineRule="exact"/>
        <w:ind w:firstLine="640" w:firstLineChars="200"/>
        <w:outlineLvl w:val="1"/>
        <w:rPr>
          <w:rFonts w:hint="default" w:ascii="仿宋_GB2312" w:hAnsi="Times New Roman" w:eastAsia="仿宋_GB2312" w:cs="仿宋_GB2312"/>
          <w:kern w:val="0"/>
          <w:sz w:val="32"/>
          <w:szCs w:val="32"/>
          <w:shd w:val="clear" w:color="auto" w:fill="FFFFFF"/>
          <w:lang w:val="en-US" w:eastAsia="zh-CN" w:bidi="ar"/>
        </w:rPr>
      </w:pPr>
      <w:r>
        <w:rPr>
          <w:rFonts w:hint="eastAsia" w:ascii="仿宋_GB2312" w:hAnsi="Times New Roman" w:eastAsia="仿宋_GB2312" w:cs="仿宋_GB2312"/>
          <w:kern w:val="0"/>
          <w:sz w:val="32"/>
          <w:szCs w:val="32"/>
          <w:shd w:val="clear" w:color="auto" w:fill="FFFFFF"/>
          <w:lang w:val="en-US" w:eastAsia="zh-CN" w:bidi="ar"/>
        </w:rPr>
        <w:t>组织委员会、</w:t>
      </w:r>
      <w:r>
        <w:rPr>
          <w:rFonts w:ascii="仿宋_GB2312" w:hAnsi="Times New Roman" w:eastAsia="仿宋_GB2312" w:cs="仿宋_GB2312"/>
          <w:kern w:val="0"/>
          <w:sz w:val="32"/>
          <w:szCs w:val="32"/>
          <w:shd w:val="clear" w:color="auto" w:fill="FFFFFF"/>
          <w:lang w:val="en-US" w:eastAsia="zh-CN" w:bidi="ar"/>
        </w:rPr>
        <w:t>专家委员会</w:t>
      </w:r>
      <w:r>
        <w:rPr>
          <w:rFonts w:hint="eastAsia" w:ascii="仿宋_GB2312" w:hAnsi="Times New Roman" w:eastAsia="仿宋_GB2312" w:cs="仿宋_GB2312"/>
          <w:kern w:val="0"/>
          <w:sz w:val="32"/>
          <w:szCs w:val="32"/>
          <w:shd w:val="clear" w:color="auto" w:fill="FFFFFF"/>
          <w:lang w:val="en-US" w:eastAsia="zh-CN" w:bidi="ar"/>
        </w:rPr>
        <w:t>、</w:t>
      </w:r>
      <w:r>
        <w:rPr>
          <w:rFonts w:ascii="仿宋_GB2312" w:hAnsi="Times New Roman" w:eastAsia="仿宋_GB2312" w:cs="仿宋_GB2312"/>
          <w:kern w:val="0"/>
          <w:sz w:val="32"/>
          <w:szCs w:val="32"/>
          <w:shd w:val="clear" w:color="auto" w:fill="FFFFFF"/>
          <w:lang w:val="en-US" w:eastAsia="zh-CN" w:bidi="ar"/>
        </w:rPr>
        <w:t>仲裁委员会</w:t>
      </w:r>
      <w:r>
        <w:rPr>
          <w:rFonts w:hint="eastAsia" w:ascii="仿宋_GB2312" w:hAnsi="Times New Roman" w:eastAsia="仿宋_GB2312" w:cs="仿宋_GB2312"/>
          <w:kern w:val="0"/>
          <w:sz w:val="32"/>
          <w:szCs w:val="32"/>
          <w:shd w:val="clear" w:color="auto" w:fill="FFFFFF"/>
          <w:lang w:val="en-US" w:eastAsia="zh-CN" w:bidi="ar"/>
        </w:rPr>
        <w:t>、</w:t>
      </w:r>
      <w:r>
        <w:rPr>
          <w:rFonts w:ascii="仿宋_GB2312" w:hAnsi="Times New Roman" w:eastAsia="仿宋_GB2312" w:cs="仿宋_GB2312"/>
          <w:kern w:val="0"/>
          <w:sz w:val="32"/>
          <w:szCs w:val="32"/>
          <w:shd w:val="clear" w:color="auto" w:fill="FFFFFF"/>
          <w:lang w:val="en-US" w:eastAsia="zh-CN" w:bidi="ar"/>
        </w:rPr>
        <w:t>秘书处</w:t>
      </w:r>
      <w:r>
        <w:rPr>
          <w:rFonts w:hint="eastAsia" w:ascii="仿宋_GB2312" w:hAnsi="Times New Roman" w:eastAsia="仿宋_GB2312" w:cs="仿宋_GB2312"/>
          <w:kern w:val="0"/>
          <w:sz w:val="32"/>
          <w:szCs w:val="32"/>
          <w:shd w:val="clear" w:color="auto" w:fill="FFFFFF"/>
          <w:lang w:val="en-US" w:eastAsia="zh-CN" w:bidi="ar"/>
        </w:rPr>
        <w:t>详见附件2。</w:t>
      </w:r>
    </w:p>
    <w:p w14:paraId="704AB23C">
      <w:pPr>
        <w:widowControl/>
        <w:numPr>
          <w:ilvl w:val="0"/>
          <w:numId w:val="0"/>
        </w:numPr>
        <w:shd w:val="clear" w:color="auto" w:fill="FFFFFF"/>
        <w:adjustRightInd w:val="0"/>
        <w:snapToGrid w:val="0"/>
        <w:spacing w:line="560" w:lineRule="exact"/>
        <w:ind w:firstLine="640" w:firstLineChars="200"/>
        <w:jc w:val="left"/>
        <w:outlineLvl w:val="0"/>
        <w:rPr>
          <w:rFonts w:hint="eastAsia" w:ascii="黑体" w:hAnsi="黑体" w:eastAsia="黑体" w:cs="黑体"/>
          <w:kern w:val="0"/>
          <w:sz w:val="32"/>
          <w:szCs w:val="32"/>
          <w:highlight w:val="none"/>
          <w:shd w:val="clear" w:color="auto" w:fill="FFFFFF"/>
          <w:lang w:bidi="ar"/>
        </w:rPr>
      </w:pPr>
      <w:r>
        <w:rPr>
          <w:rFonts w:hint="eastAsia" w:ascii="黑体" w:hAnsi="黑体" w:eastAsia="黑体" w:cs="黑体"/>
          <w:kern w:val="0"/>
          <w:sz w:val="32"/>
          <w:szCs w:val="32"/>
          <w:highlight w:val="none"/>
          <w:shd w:val="clear" w:color="auto" w:fill="FFFFFF"/>
          <w:lang w:val="en-US" w:eastAsia="zh-CN" w:bidi="ar"/>
        </w:rPr>
        <w:t>三、</w:t>
      </w:r>
      <w:r>
        <w:rPr>
          <w:rFonts w:ascii="黑体" w:hAnsi="黑体" w:eastAsia="黑体" w:cs="黑体"/>
          <w:kern w:val="0"/>
          <w:sz w:val="32"/>
          <w:szCs w:val="32"/>
          <w:highlight w:val="none"/>
          <w:shd w:val="clear" w:color="auto" w:fill="FFFFFF"/>
          <w:lang w:bidi="ar"/>
        </w:rPr>
        <w:t>竞赛目的</w:t>
      </w:r>
    </w:p>
    <w:p w14:paraId="7AD71553">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竞赛旨在深入贯彻国家数字经济与“双碳”战略部署，落实安徽省高等教育高质量发展要求，坚持以赛促学、以赛促教、以赛促创、以赛促建，依托仿真数智化企业运营环境，围绕ERP企业经营模拟、大数据分析与决策、双碳模拟经营实战、数字经济决策创新等赛道，构建覆盖企业运营、数智技术应用、低碳发展与创新决策的一体化竞赛体系，引导学生在动态竞争场景中提升企业资源计划、财务管控、生产调度、市场营销、供应链协同、数据分析、碳资产管理等综合能力，强化战略决策、组织协同、创新实践与低碳经营意识。同时，以赛事深化产教融合、科教融汇和校企协同育人，推动高校专业建设、课程改革与实践教学创新，培养懂经营、精技术、善决策、能创新、守低碳的复合型数智化管理人才，为安徽省数字经济发展、“双碳”目标实现及战略性新兴产业和智能制造业转型升级提供人才支撑。</w:t>
      </w:r>
    </w:p>
    <w:p w14:paraId="5BE271C9">
      <w:pPr>
        <w:keepNext w:val="0"/>
        <w:keepLines w:val="0"/>
        <w:pageBreakBefore w:val="0"/>
        <w:widowControl/>
        <w:shd w:val="clear" w:color="auto" w:fill="FFFFFF"/>
        <w:kinsoku/>
        <w:wordWrap/>
        <w:overflowPunct/>
        <w:topLinePunct w:val="0"/>
        <w:autoSpaceDE/>
        <w:autoSpaceDN/>
        <w:bidi w:val="0"/>
        <w:adjustRightInd w:val="0"/>
        <w:snapToGrid w:val="0"/>
        <w:spacing w:line="560" w:lineRule="exact"/>
        <w:ind w:firstLine="640" w:firstLineChars="200"/>
        <w:jc w:val="left"/>
        <w:textAlignment w:val="auto"/>
        <w:outlineLvl w:val="0"/>
        <w:rPr>
          <w:rFonts w:hint="eastAsia" w:ascii="黑体" w:hAnsi="黑体" w:eastAsia="黑体" w:cs="黑体"/>
          <w:kern w:val="0"/>
          <w:sz w:val="32"/>
          <w:szCs w:val="32"/>
          <w:shd w:val="clear" w:color="auto" w:fill="FFFFFF"/>
          <w:lang w:bidi="ar"/>
        </w:rPr>
      </w:pPr>
      <w:r>
        <w:rPr>
          <w:rFonts w:ascii="黑体" w:hAnsi="黑体" w:eastAsia="黑体" w:cs="黑体"/>
          <w:kern w:val="0"/>
          <w:sz w:val="32"/>
          <w:szCs w:val="32"/>
          <w:shd w:val="clear" w:color="auto" w:fill="FFFFFF"/>
          <w:lang w:bidi="ar"/>
        </w:rPr>
        <w:t>四、竞赛内容</w:t>
      </w:r>
    </w:p>
    <w:p w14:paraId="307D709E">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比赛分为</w:t>
      </w:r>
      <w:r>
        <w:rPr>
          <w:rFonts w:hint="eastAsia" w:ascii="仿宋_GB2312" w:hAnsi="仿宋_GB2312" w:eastAsia="仿宋_GB2312" w:cs="仿宋_GB2312"/>
          <w:sz w:val="32"/>
          <w:szCs w:val="32"/>
        </w:rPr>
        <w:t>ERP企业经营模拟、</w:t>
      </w:r>
      <w:r>
        <w:rPr>
          <w:rFonts w:hint="eastAsia" w:ascii="仿宋_GB2312" w:hAnsi="仿宋_GB2312" w:eastAsia="仿宋_GB2312" w:cs="仿宋_GB2312"/>
          <w:color w:val="000000"/>
          <w:kern w:val="0"/>
          <w:sz w:val="32"/>
          <w:szCs w:val="32"/>
        </w:rPr>
        <w:t>大数据分析应用与决策、</w:t>
      </w:r>
      <w:r>
        <w:rPr>
          <w:rFonts w:hint="eastAsia" w:ascii="仿宋_GB2312" w:hAnsi="仿宋_GB2312" w:eastAsia="仿宋_GB2312" w:cs="仿宋_GB2312"/>
          <w:sz w:val="32"/>
          <w:szCs w:val="32"/>
          <w:lang w:eastAsia="zh-CN"/>
        </w:rPr>
        <w:t>双碳模拟经营实战</w:t>
      </w:r>
      <w:r>
        <w:rPr>
          <w:rFonts w:hint="eastAsia" w:ascii="仿宋_GB2312" w:hAnsi="仿宋_GB2312" w:eastAsia="仿宋_GB2312" w:cs="仿宋_GB2312"/>
          <w:sz w:val="32"/>
          <w:szCs w:val="32"/>
        </w:rPr>
        <w:t>和数字经济决策创新四个赛道</w:t>
      </w:r>
      <w:r>
        <w:rPr>
          <w:rFonts w:hint="eastAsia" w:ascii="仿宋_GB2312" w:hAnsi="仿宋_GB2312" w:eastAsia="仿宋_GB2312" w:cs="仿宋_GB2312"/>
          <w:color w:val="000000"/>
          <w:kern w:val="0"/>
          <w:sz w:val="32"/>
          <w:szCs w:val="32"/>
        </w:rPr>
        <w:t>。</w:t>
      </w:r>
    </w:p>
    <w:p w14:paraId="4175BDB1">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3" w:firstLineChars="200"/>
        <w:textAlignment w:val="auto"/>
        <w:outlineLvl w:val="1"/>
        <w:rPr>
          <w:rFonts w:ascii="仿宋_GB2312" w:hAnsi="仿宋_GB2312" w:eastAsia="仿宋_GB2312" w:cs="仿宋_GB2312"/>
          <w:b/>
          <w:bCs/>
          <w:color w:val="000000"/>
          <w:sz w:val="32"/>
          <w:szCs w:val="32"/>
          <w:shd w:val="clear" w:color="auto" w:fill="FFFFFF"/>
          <w:lang w:bidi="ar"/>
        </w:rPr>
      </w:pPr>
      <w:r>
        <w:rPr>
          <w:rFonts w:hint="eastAsia" w:ascii="仿宋_GB2312" w:hAnsi="仿宋_GB2312" w:eastAsia="仿宋_GB2312" w:cs="仿宋_GB2312"/>
          <w:b/>
          <w:bCs/>
          <w:sz w:val="32"/>
          <w:szCs w:val="32"/>
          <w:lang w:bidi="ar"/>
        </w:rPr>
        <w:t>（一）</w:t>
      </w:r>
      <w:r>
        <w:rPr>
          <w:rFonts w:hint="eastAsia" w:ascii="仿宋_GB2312" w:hAnsi="仿宋_GB2312" w:eastAsia="仿宋_GB2312" w:cs="仿宋_GB2312"/>
          <w:b/>
          <w:bCs/>
          <w:color w:val="000000"/>
          <w:sz w:val="32"/>
          <w:szCs w:val="32"/>
          <w:shd w:val="clear" w:color="auto" w:fill="FFFFFF"/>
          <w:lang w:bidi="ar"/>
        </w:rPr>
        <w:t>ERP企业经营模拟赛道</w:t>
      </w:r>
    </w:p>
    <w:p w14:paraId="13318425">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ascii="仿宋_GB2312" w:hAnsi="仿宋_GB2312" w:eastAsia="仿宋_GB2312" w:cs="仿宋_GB2312"/>
          <w:sz w:val="32"/>
          <w:szCs w:val="32"/>
        </w:rPr>
        <w:t>赛项立足实际工作场景，重点考核选手企业经营管理综合职业能力和数智化素养。参赛学生根据企业背景资料，利用竞赛平台模拟企业从信息化经营模拟阶段到数字化经营模拟阶段的全过程。竞赛分为四个岗位：项目</w:t>
      </w:r>
      <w:r>
        <w:rPr>
          <w:rFonts w:hint="eastAsia" w:ascii="仿宋_GB2312" w:hAnsi="仿宋_GB2312" w:eastAsia="仿宋_GB2312" w:cs="仿宋_GB2312"/>
          <w:sz w:val="32"/>
          <w:szCs w:val="32"/>
        </w:rPr>
        <w:t>（生产）</w:t>
      </w:r>
      <w:r>
        <w:rPr>
          <w:rFonts w:ascii="仿宋_GB2312" w:hAnsi="仿宋_GB2312" w:eastAsia="仿宋_GB2312" w:cs="仿宋_GB2312"/>
          <w:sz w:val="32"/>
          <w:szCs w:val="32"/>
        </w:rPr>
        <w:t>总监、运营</w:t>
      </w:r>
      <w:r>
        <w:rPr>
          <w:rFonts w:hint="eastAsia" w:ascii="仿宋_GB2312" w:hAnsi="仿宋_GB2312" w:eastAsia="仿宋_GB2312" w:cs="仿宋_GB2312"/>
          <w:sz w:val="32"/>
          <w:szCs w:val="32"/>
        </w:rPr>
        <w:t>（财务）</w:t>
      </w:r>
      <w:r>
        <w:rPr>
          <w:rFonts w:ascii="仿宋_GB2312" w:hAnsi="仿宋_GB2312" w:eastAsia="仿宋_GB2312" w:cs="仿宋_GB2312"/>
          <w:sz w:val="32"/>
          <w:szCs w:val="32"/>
        </w:rPr>
        <w:t>总监、营销总监、人力资源总监，协同完成四个年度企业经营活动。信息化经营模拟阶段主要考察团队战略目标的确定、分析、选择与评价、实施、控制等企业战略管理基本能力，运营规划、质量管理及营销、供应链、财务管理等企业运营管理能力</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数字化经营模拟阶段主要考察团队利用智能算法、数据可视化分析等数字化技术，进行企业数字化管理与协同、数字信息分析与决策，使企业生产、加工、贮存、人力、营销等管理活动得以转型</w:t>
      </w:r>
      <w:r>
        <w:rPr>
          <w:rFonts w:hint="eastAsia" w:ascii="仿宋_GB2312" w:hAnsi="仿宋_GB2312" w:eastAsia="仿宋_GB2312" w:cs="仿宋_GB2312"/>
          <w:sz w:val="32"/>
          <w:szCs w:val="32"/>
        </w:rPr>
        <w:t>。</w:t>
      </w:r>
    </w:p>
    <w:p w14:paraId="1C6856C9">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3" w:firstLineChars="200"/>
        <w:textAlignment w:val="auto"/>
        <w:outlineLvl w:val="1"/>
        <w:rPr>
          <w:rFonts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（二）大数据分析应用与决策赛道</w:t>
      </w:r>
    </w:p>
    <w:p w14:paraId="376C93C3">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1.大数据概念及特点</w:t>
      </w:r>
    </w:p>
    <w:p w14:paraId="5C7F34E8">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考核学生对大数据的概念、特征、分类、Python变量及基本数据类型、Python运算符及常用语句、Python网络爬虫基础、Requests库入门。</w:t>
      </w:r>
    </w:p>
    <w:p w14:paraId="01826DFD">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2.大数据分析工具应用</w:t>
      </w:r>
    </w:p>
    <w:p w14:paraId="6AED52B4">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主要考核使用大数据分析工具，需根据业务需求，结合财务管理场景，选择适用的大数据分析指标及分析模型，并选择可视化方案进行呈现。</w:t>
      </w:r>
    </w:p>
    <w:p w14:paraId="0994D165">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3.财务大数据职业判断考核</w:t>
      </w:r>
    </w:p>
    <w:p w14:paraId="13AC373C">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考核学生在实际工作中财务大数据应用中的职业判断能力，如识别常用财报公式网站，识别常用银行利率、贷款利率网站，识别币种汇率网站，识别读取财报数据等基本职业判断能力。</w:t>
      </w:r>
    </w:p>
    <w:p w14:paraId="2B8CF0DB">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4.数据采集</w:t>
      </w:r>
    </w:p>
    <w:p w14:paraId="685B7B03">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利用平台内嵌的大数据采集工具（python）爬取指定的数据（上市公司研报、资产负债表、利润表、现金流量表、业务数据表等），并对爬取数据进行清洗、加工。</w:t>
      </w:r>
    </w:p>
    <w:p w14:paraId="7F09202F">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5.数据处理</w:t>
      </w:r>
    </w:p>
    <w:p w14:paraId="0BADF676">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利用平台内置的数据处理工具完成爬取数据的数据清洗、数据集成等数据处理全过程。利用平台内置的Python代码编辑器爬取指定的数据（上市公司研报、资产负债表、利润表、现金流量表、国债利率、贷款基准利率、人民币基准利率、企业销售数据、成本数据、价格数据），并对爬取数据进行分析。</w:t>
      </w:r>
    </w:p>
    <w:p w14:paraId="7E7D82EB">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6.数据挖掘</w:t>
      </w:r>
    </w:p>
    <w:p w14:paraId="2CAFC91F">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利用大数据挖掘工具，结合案例企业决策情景，利用给定的数据挖掘工具，如基于逻辑回归预测员工流失、k-means客户价值分析、财务困境预警等；选择合适的数据建模算法，进行数据挖掘分析。</w:t>
      </w:r>
    </w:p>
    <w:p w14:paraId="58B02CDF">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ascii="仿宋_GB2312" w:hAnsi="仿宋_GB2312" w:eastAsia="仿宋_GB2312" w:cs="仿宋_GB2312"/>
          <w:sz w:val="32"/>
          <w:szCs w:val="32"/>
          <w:lang w:val="en-US" w:bidi="ar-SA"/>
        </w:rPr>
      </w:pPr>
      <w:r>
        <w:rPr>
          <w:rFonts w:hint="eastAsia" w:ascii="仿宋_GB2312" w:hAnsi="仿宋_GB2312" w:eastAsia="仿宋_GB2312" w:cs="仿宋_GB2312"/>
          <w:sz w:val="32"/>
          <w:szCs w:val="32"/>
          <w:lang w:val="en-US" w:bidi="ar-SA"/>
        </w:rPr>
        <w:t>7.数据分析与可视化呈现</w:t>
      </w:r>
    </w:p>
    <w:p w14:paraId="4ECAB9A8">
      <w:pPr>
        <w:pStyle w:val="6"/>
        <w:keepNext w:val="0"/>
        <w:keepLines w:val="0"/>
        <w:pageBreakBefore w:val="0"/>
        <w:widowControl w:val="0"/>
        <w:numPr>
          <w:ilvl w:val="255"/>
          <w:numId w:val="0"/>
        </w:numPr>
        <w:kinsoku/>
        <w:wordWrap/>
        <w:overflowPunct/>
        <w:topLinePunct w:val="0"/>
        <w:autoSpaceDE/>
        <w:autoSpaceDN/>
        <w:bidi w:val="0"/>
        <w:adjustRightInd w:val="0"/>
        <w:snapToGrid w:val="0"/>
        <w:spacing w:before="0"/>
        <w:ind w:firstLine="640" w:firstLineChars="200"/>
        <w:textAlignment w:val="auto"/>
        <w:rPr>
          <w:rFonts w:hint="eastAsia" w:ascii="仿宋_GB2312" w:hAnsi="仿宋_GB2312" w:cs="仿宋_GB2312" w:eastAsiaTheme="minorEastAsia"/>
          <w:sz w:val="32"/>
          <w:szCs w:val="32"/>
          <w:lang w:val="en-US" w:bidi="ar-SA"/>
        </w:rPr>
      </w:pPr>
      <w:r>
        <w:rPr>
          <w:rFonts w:hint="eastAsia" w:ascii="仿宋_GB2312" w:hAnsi="仿宋_GB2312" w:eastAsia="仿宋_GB2312" w:cs="仿宋_GB2312"/>
          <w:sz w:val="32"/>
          <w:szCs w:val="32"/>
          <w:lang w:val="en-US" w:bidi="ar-SA"/>
        </w:rPr>
        <w:t>利用大数据可视化分析工具，结合平台内给定的案例企业商业分析问题，选择适用的数据分析模型，从多角度对整个行业数据从盈利能力、偿债能力、营运能力、发展能力等方面进行分析，并进行可视化故事板设计以及对可视化图形进行充分的解读。</w:t>
      </w:r>
    </w:p>
    <w:p w14:paraId="5C15578D">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3" w:firstLineChars="200"/>
        <w:textAlignment w:val="auto"/>
        <w:outlineLvl w:val="1"/>
        <w:rPr>
          <w:rFonts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（三）</w:t>
      </w:r>
      <w:r>
        <w:rPr>
          <w:rFonts w:hint="eastAsia" w:ascii="仿宋_GB2312" w:hAnsi="仿宋_GB2312" w:eastAsia="仿宋_GB2312" w:cs="仿宋_GB2312"/>
          <w:b/>
          <w:bCs/>
          <w:sz w:val="32"/>
          <w:szCs w:val="32"/>
          <w:lang w:eastAsia="zh-CN" w:bidi="ar"/>
        </w:rPr>
        <w:t>双碳模拟经营实战</w:t>
      </w:r>
      <w:r>
        <w:rPr>
          <w:rFonts w:hint="eastAsia" w:ascii="仿宋_GB2312" w:hAnsi="仿宋_GB2312" w:eastAsia="仿宋_GB2312" w:cs="仿宋_GB2312"/>
          <w:b/>
          <w:bCs/>
          <w:sz w:val="32"/>
          <w:szCs w:val="32"/>
          <w:lang w:bidi="ar"/>
        </w:rPr>
        <w:t>赛道</w:t>
      </w:r>
    </w:p>
    <w:p w14:paraId="13C2AEF5">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双碳模拟经营实战赛道旨在</w:t>
      </w:r>
      <w:r>
        <w:rPr>
          <w:rFonts w:hint="eastAsia" w:ascii="仿宋_GB2312" w:hAnsi="仿宋_GB2312" w:eastAsia="仿宋_GB2312" w:cs="仿宋_GB2312"/>
          <w:sz w:val="32"/>
          <w:szCs w:val="32"/>
        </w:rPr>
        <w:t>引导安徽省高校碳达峰碳中和人才培养体系建设，推动高校相关专业、学科改造升级；以赛促教，培养大学生绿色低碳理念和生产生活方式，深刻领悟“排碳有成本、减碳有收益”、“绿水青山就是金山银山”的生态文明思想内涵；培养学生的碳核算、碳减排、碳管理与碳经营的能力。</w:t>
      </w:r>
    </w:p>
    <w:p w14:paraId="792A490E">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各参赛队需要</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eastAsia="zh-CN"/>
        </w:rPr>
        <w:t>双碳模拟经营实战</w:t>
      </w:r>
      <w:r>
        <w:rPr>
          <w:rFonts w:hint="eastAsia" w:ascii="仿宋_GB2312" w:hAnsi="仿宋_GB2312" w:eastAsia="仿宋_GB2312" w:cs="仿宋_GB2312"/>
          <w:sz w:val="32"/>
          <w:szCs w:val="32"/>
        </w:rPr>
        <w:t>赛道竞赛平台中模拟经营一家企业，</w:t>
      </w:r>
      <w:r>
        <w:rPr>
          <w:rFonts w:hint="eastAsia" w:ascii="仿宋_GB2312" w:hAnsi="仿宋_GB2312" w:eastAsia="仿宋_GB2312" w:cs="仿宋_GB2312"/>
          <w:sz w:val="32"/>
          <w:szCs w:val="32"/>
          <w:lang w:val="en-US" w:eastAsia="zh-CN"/>
        </w:rPr>
        <w:t>在</w:t>
      </w:r>
      <w:r>
        <w:rPr>
          <w:rFonts w:hint="eastAsia" w:ascii="仿宋_GB2312" w:hAnsi="仿宋_GB2312" w:eastAsia="仿宋_GB2312" w:cs="仿宋_GB2312"/>
          <w:sz w:val="32"/>
          <w:szCs w:val="32"/>
        </w:rPr>
        <w:t>具有相同的资金、资产条件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外部商业环境</w:t>
      </w:r>
      <w:r>
        <w:rPr>
          <w:rFonts w:hint="eastAsia" w:ascii="仿宋_GB2312" w:hAnsi="仿宋_GB2312" w:eastAsia="仿宋_GB2312" w:cs="仿宋_GB2312"/>
          <w:sz w:val="32"/>
          <w:szCs w:val="32"/>
          <w:lang w:val="en-US" w:eastAsia="zh-CN"/>
        </w:rPr>
        <w:t>及</w:t>
      </w:r>
      <w:r>
        <w:rPr>
          <w:rFonts w:hint="eastAsia" w:ascii="仿宋_GB2312" w:hAnsi="仿宋_GB2312" w:eastAsia="仿宋_GB2312" w:cs="仿宋_GB2312"/>
          <w:sz w:val="32"/>
          <w:szCs w:val="32"/>
        </w:rPr>
        <w:t>模拟经营规则</w:t>
      </w:r>
      <w:r>
        <w:rPr>
          <w:rFonts w:hint="eastAsia" w:ascii="仿宋_GB2312" w:hAnsi="仿宋_GB2312" w:eastAsia="仿宋_GB2312" w:cs="仿宋_GB2312"/>
          <w:sz w:val="32"/>
          <w:szCs w:val="32"/>
          <w:lang w:val="en-US" w:eastAsia="zh-CN"/>
        </w:rPr>
        <w:t>下</w:t>
      </w:r>
      <w:r>
        <w:rPr>
          <w:rFonts w:hint="eastAsia" w:ascii="仿宋_GB2312" w:hAnsi="仿宋_GB2312" w:eastAsia="仿宋_GB2312" w:cs="仿宋_GB2312"/>
          <w:sz w:val="32"/>
          <w:szCs w:val="32"/>
        </w:rPr>
        <w:t>，开展绿贷申请、领取核定配额、碳汇采购、选择订单、物料及电力采购、产品生产交付、配额交易等诸多经营决策动作，通过产品交付获得收入</w:t>
      </w:r>
      <w:r>
        <w:rPr>
          <w:rFonts w:hint="eastAsia" w:ascii="仿宋_GB2312" w:hAnsi="仿宋_GB2312" w:eastAsia="仿宋_GB2312" w:cs="仿宋_GB2312"/>
          <w:sz w:val="32"/>
          <w:szCs w:val="32"/>
          <w:lang w:eastAsia="zh-CN"/>
        </w:rPr>
        <w:t>。</w:t>
      </w:r>
    </w:p>
    <w:p w14:paraId="2446D3D8">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各参赛队在竞争博弈的商战中持续经营5年，</w:t>
      </w:r>
      <w:r>
        <w:rPr>
          <w:rFonts w:hint="eastAsia" w:ascii="仿宋_GB2312" w:hAnsi="仿宋_GB2312" w:eastAsia="仿宋_GB2312" w:cs="仿宋_GB2312"/>
          <w:sz w:val="32"/>
          <w:szCs w:val="32"/>
          <w:lang w:val="en-US" w:eastAsia="zh-CN"/>
        </w:rPr>
        <w:t>比赛时长200分钟，</w:t>
      </w:r>
      <w:r>
        <w:rPr>
          <w:rFonts w:hint="eastAsia" w:ascii="仿宋_GB2312" w:hAnsi="仿宋_GB2312" w:eastAsia="仿宋_GB2312" w:cs="仿宋_GB2312"/>
          <w:sz w:val="32"/>
          <w:szCs w:val="32"/>
        </w:rPr>
        <w:t>每支参赛团队的</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名队员共同完成，最后未破产的、以所有者权益排名以及填制报表成绩综合确定比赛成绩。</w:t>
      </w:r>
    </w:p>
    <w:p w14:paraId="28C03EC2">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数字经济决策创新赛道</w:t>
      </w:r>
    </w:p>
    <w:p w14:paraId="04D26FB4">
      <w:pPr>
        <w:shd w:val="clear" w:color="auto" w:fill="FFFFFF"/>
        <w:adjustRightInd w:val="0"/>
        <w:snapToGrid w:val="0"/>
        <w:spacing w:line="56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响应国家数字经济战略，聚焦数字经济复合型人才培养，通过数字经济决策创新赛</w:t>
      </w:r>
      <w:r>
        <w:rPr>
          <w:rFonts w:hint="eastAsia" w:ascii="仿宋_GB2312" w:hAnsi="仿宋_GB2312" w:eastAsia="仿宋_GB2312" w:cs="仿宋_GB2312"/>
          <w:sz w:val="32"/>
          <w:szCs w:val="32"/>
        </w:rPr>
        <w:t>道</w:t>
      </w:r>
      <w:r>
        <w:rPr>
          <w:rFonts w:ascii="仿宋_GB2312" w:hAnsi="仿宋_GB2312" w:eastAsia="仿宋_GB2312" w:cs="仿宋_GB2312"/>
          <w:sz w:val="32"/>
          <w:szCs w:val="32"/>
        </w:rPr>
        <w:t>搭建产学研用协同平台，激发青年创新活力，精准对接安徽数字产业需求，为区域数字经济高质量发展注入新动能。</w:t>
      </w:r>
      <w:r>
        <w:rPr>
          <w:rFonts w:hint="eastAsia" w:ascii="仿宋_GB2312" w:hAnsi="仿宋_GB2312" w:eastAsia="仿宋_GB2312" w:cs="仿宋_GB2312"/>
          <w:sz w:val="32"/>
          <w:szCs w:val="32"/>
        </w:rPr>
        <w:t>赛道</w:t>
      </w:r>
      <w:r>
        <w:rPr>
          <w:rFonts w:ascii="仿宋_GB2312" w:hAnsi="仿宋_GB2312" w:eastAsia="仿宋_GB2312" w:cs="仿宋_GB2312"/>
          <w:sz w:val="32"/>
          <w:szCs w:val="32"/>
        </w:rPr>
        <w:t>设置“数字经济决策”、“数字经济大数据分析”</w:t>
      </w:r>
      <w:r>
        <w:rPr>
          <w:rFonts w:hint="eastAsia" w:ascii="仿宋_GB2312" w:hAnsi="仿宋_GB2312" w:eastAsia="仿宋_GB2312" w:cs="仿宋_GB2312"/>
          <w:sz w:val="32"/>
          <w:szCs w:val="32"/>
          <w:lang w:val="en-US" w:eastAsia="zh-CN"/>
        </w:rPr>
        <w:t>两</w:t>
      </w:r>
      <w:r>
        <w:rPr>
          <w:rFonts w:ascii="仿宋_GB2312" w:hAnsi="仿宋_GB2312" w:eastAsia="仿宋_GB2312" w:cs="仿宋_GB2312"/>
          <w:sz w:val="32"/>
          <w:szCs w:val="32"/>
        </w:rPr>
        <w:t>大</w:t>
      </w:r>
      <w:r>
        <w:rPr>
          <w:rFonts w:hint="eastAsia" w:ascii="仿宋_GB2312" w:hAnsi="仿宋_GB2312" w:eastAsia="仿宋_GB2312" w:cs="仿宋_GB2312"/>
          <w:sz w:val="32"/>
          <w:szCs w:val="32"/>
          <w:lang w:val="en-US" w:eastAsia="zh-CN"/>
        </w:rPr>
        <w:t>环节</w:t>
      </w:r>
      <w:r>
        <w:rPr>
          <w:rFonts w:ascii="仿宋_GB2312" w:hAnsi="仿宋_GB2312" w:eastAsia="仿宋_GB2312" w:cs="仿宋_GB2312"/>
          <w:sz w:val="32"/>
          <w:szCs w:val="32"/>
        </w:rPr>
        <w:t>，全方位检验参赛者在数字经济领域的综合能力与创新思维。</w:t>
      </w:r>
    </w:p>
    <w:p w14:paraId="528A616C">
      <w:pPr>
        <w:shd w:val="clear" w:color="auto" w:fill="FFFFFF"/>
        <w:adjustRightInd w:val="0"/>
        <w:snapToGrid w:val="0"/>
        <w:spacing w:line="56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1.数字经济决策</w:t>
      </w:r>
    </w:p>
    <w:p w14:paraId="28EAD64A">
      <w:pPr>
        <w:shd w:val="clear" w:color="auto" w:fill="FFFFFF"/>
        <w:adjustRightInd w:val="0"/>
        <w:snapToGrid w:val="0"/>
        <w:spacing w:line="56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数字经济决策采用软件模拟平台“数字经济智能对抗实训平台”，以数字经济为背景，模拟真实的市场竞争环境。学生借助此平台，可进行大数据采集与分析，制定数字金融决策，进行数字人才招聘，构建数字化交易平台，并确保平台数字安全，实施数字营销和智慧物流等实际操作。</w:t>
      </w:r>
    </w:p>
    <w:p w14:paraId="49F20E4C">
      <w:pPr>
        <w:shd w:val="clear" w:color="auto" w:fill="FFFFFF"/>
        <w:adjustRightInd w:val="0"/>
        <w:snapToGrid w:val="0"/>
        <w:spacing w:line="56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该平台是专门针对数字经济领域的竞争对抗性系统。该平台紧跟数字经济发展潮流，以平台经济为核心切入点，依靠市场数据驱动，从数字技术、数智决策、数字安全等角度出发，通过模拟平台公司从完全市场竞争到寡头垄断竞争的经营历程，帮助学生深入理解完全竞争市场与寡头垄断市场的本质区别。</w:t>
      </w:r>
    </w:p>
    <w:p w14:paraId="72558DAF">
      <w:pPr>
        <w:shd w:val="clear" w:color="auto" w:fill="FFFFFF"/>
        <w:adjustRightInd w:val="0"/>
        <w:snapToGrid w:val="0"/>
        <w:spacing w:line="56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2.数字经济大数据分析</w:t>
      </w:r>
    </w:p>
    <w:p w14:paraId="6567F06E">
      <w:pPr>
        <w:shd w:val="clear" w:color="auto" w:fill="FFFFFF"/>
        <w:adjustRightInd w:val="0"/>
        <w:snapToGrid w:val="0"/>
        <w:spacing w:line="56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数字经济大数据分析利用“数字经济综合实训平台”，参赛队伍需运用大数据技术，深入挖掘数据背后的价值，为商业决策提供有力支持。</w:t>
      </w:r>
    </w:p>
    <w:p w14:paraId="0B859A22">
      <w:pPr>
        <w:shd w:val="clear" w:color="auto" w:fill="FFFFFF"/>
        <w:adjustRightInd w:val="0"/>
        <w:snapToGrid w:val="0"/>
        <w:spacing w:line="56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该平台选取数字经济时代下典型行业背景，如餐饮外卖、网络直播平台、共享交通、智慧旅游等，深度融合数字经济与行业实践的教学工具，利用大数据技术，收集和分析各项行业数据，从而对平台进行预测性分析和诊断性分析。平台内置多种数据挖掘技术，如决策树、聚类算法、回归分析、文本挖掘等，满足不同场景下的数据分析需求。</w:t>
      </w:r>
    </w:p>
    <w:p w14:paraId="25CD75E8">
      <w:pPr>
        <w:shd w:val="clear" w:color="auto" w:fill="FFFFFF"/>
        <w:adjustRightInd w:val="0"/>
        <w:snapToGrid w:val="0"/>
        <w:spacing w:line="560" w:lineRule="exact"/>
        <w:ind w:firstLine="960"/>
        <w:outlineLvl w:val="0"/>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五、</w:t>
      </w:r>
      <w:r>
        <w:rPr>
          <w:rFonts w:ascii="黑体" w:hAnsi="黑体" w:eastAsia="黑体" w:cs="黑体"/>
          <w:kern w:val="0"/>
          <w:sz w:val="32"/>
          <w:szCs w:val="32"/>
          <w:shd w:val="clear" w:color="auto" w:fill="FFFFFF"/>
          <w:lang w:bidi="ar"/>
        </w:rPr>
        <w:t>竞赛方式</w:t>
      </w:r>
    </w:p>
    <w:p w14:paraId="39DE20DE">
      <w:pPr>
        <w:numPr>
          <w:ilvl w:val="0"/>
          <w:numId w:val="0"/>
        </w:numPr>
        <w:shd w:val="clear" w:color="auto" w:fill="FFFFFF"/>
        <w:adjustRightInd w:val="0"/>
        <w:snapToGrid w:val="0"/>
        <w:spacing w:line="560" w:lineRule="exact"/>
        <w:ind w:firstLine="643" w:firstLineChars="200"/>
        <w:outlineLvl w:val="9"/>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（一）ERP企业经营模拟赛道</w:t>
      </w:r>
    </w:p>
    <w:p w14:paraId="25CE25B3">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ERP企业经营模拟赛道分为校内赛和省级总决赛</w:t>
      </w:r>
      <w:r>
        <w:rPr>
          <w:rFonts w:hint="eastAsia" w:ascii="仿宋_GB2312" w:hAnsi="仿宋_GB2312" w:eastAsia="仿宋_GB2312" w:cs="仿宋_GB2312"/>
          <w:sz w:val="32"/>
          <w:szCs w:val="32"/>
          <w:lang w:eastAsia="zh-CN"/>
        </w:rPr>
        <w:t>两</w:t>
      </w:r>
      <w:r>
        <w:rPr>
          <w:rFonts w:hint="eastAsia" w:ascii="仿宋_GB2312" w:hAnsi="仿宋_GB2312" w:eastAsia="仿宋_GB2312" w:cs="仿宋_GB2312"/>
          <w:sz w:val="32"/>
          <w:szCs w:val="32"/>
        </w:rPr>
        <w:t>个阶段。</w:t>
      </w:r>
    </w:p>
    <w:p w14:paraId="7DAB3095">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校内赛：各院校自行组织校内评比，择优选拔参赛队伍，</w:t>
      </w:r>
      <w:bookmarkStart w:id="0" w:name="OLE_LINK1"/>
      <w:r>
        <w:rPr>
          <w:rFonts w:hint="eastAsia" w:ascii="仿宋_GB2312" w:hAnsi="仿宋_GB2312" w:eastAsia="仿宋_GB2312" w:cs="仿宋_GB2312"/>
          <w:sz w:val="32"/>
          <w:szCs w:val="32"/>
        </w:rPr>
        <w:t>每校</w:t>
      </w:r>
      <w:r>
        <w:rPr>
          <w:rFonts w:hint="eastAsia" w:ascii="仿宋_GB2312" w:hAnsi="仿宋_GB2312" w:eastAsia="仿宋_GB2312" w:cs="仿宋_GB2312"/>
          <w:sz w:val="32"/>
          <w:szCs w:val="32"/>
          <w:lang w:val="en-US" w:eastAsia="zh-CN"/>
        </w:rPr>
        <w:t>不超过3</w:t>
      </w:r>
      <w:r>
        <w:rPr>
          <w:rFonts w:hint="eastAsia" w:ascii="仿宋_GB2312" w:hAnsi="仿宋_GB2312" w:eastAsia="仿宋_GB2312" w:cs="仿宋_GB2312"/>
          <w:sz w:val="32"/>
          <w:szCs w:val="32"/>
        </w:rPr>
        <w:t>支队伍</w:t>
      </w:r>
      <w:bookmarkEnd w:id="0"/>
      <w:r>
        <w:rPr>
          <w:rFonts w:hint="eastAsia" w:ascii="仿宋_GB2312" w:hAnsi="仿宋_GB2312" w:eastAsia="仿宋_GB2312" w:cs="仿宋_GB2312"/>
          <w:sz w:val="32"/>
          <w:szCs w:val="32"/>
        </w:rPr>
        <w:t>参加省级</w:t>
      </w:r>
      <w:r>
        <w:rPr>
          <w:rFonts w:hint="eastAsia" w:ascii="仿宋_GB2312" w:hAnsi="仿宋_GB2312" w:eastAsia="仿宋_GB2312" w:cs="仿宋_GB2312"/>
          <w:sz w:val="32"/>
          <w:szCs w:val="32"/>
          <w:lang w:eastAsia="zh-CN"/>
        </w:rPr>
        <w:t>总决</w:t>
      </w:r>
      <w:r>
        <w:rPr>
          <w:rFonts w:hint="eastAsia" w:ascii="仿宋_GB2312" w:hAnsi="仿宋_GB2312" w:eastAsia="仿宋_GB2312" w:cs="仿宋_GB2312"/>
          <w:sz w:val="32"/>
          <w:szCs w:val="32"/>
        </w:rPr>
        <w:t>赛。</w:t>
      </w:r>
    </w:p>
    <w:p w14:paraId="1BEBC4CB">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省级总决赛：每支参赛队由4名学生组成，分别担任项目总监、运营总监、营销总监、人力资源总监四个岗位，协同完成连续4年（16季度）的企业模拟经营。竞赛内容涵盖信息化经营模拟与数字化经营模拟两个阶段，重点考核选手的企业经营管理综合能力和数智化素养。比赛时长480分钟，以第四年末系统生成的综合分数作为最终成绩评定依据。</w:t>
      </w:r>
    </w:p>
    <w:p w14:paraId="71AD99C8">
      <w:pPr>
        <w:numPr>
          <w:ilvl w:val="0"/>
          <w:numId w:val="0"/>
        </w:numPr>
        <w:shd w:val="clear" w:color="auto" w:fill="FFFFFF"/>
        <w:adjustRightInd w:val="0"/>
        <w:snapToGrid w:val="0"/>
        <w:spacing w:line="560" w:lineRule="exact"/>
        <w:ind w:firstLine="643" w:firstLineChars="200"/>
        <w:outlineLvl w:val="9"/>
        <w:rPr>
          <w:rFonts w:hint="eastAsia" w:ascii="仿宋_GB2312" w:hAnsi="仿宋_GB2312" w:eastAsia="仿宋_GB2312" w:cs="仿宋_GB2312"/>
          <w:b/>
          <w:bCs/>
          <w:color w:val="auto"/>
          <w:kern w:val="2"/>
          <w:sz w:val="32"/>
          <w:szCs w:val="32"/>
          <w:shd w:val="clear" w:color="auto" w:fill="auto"/>
          <w:lang w:bidi="ar"/>
        </w:rPr>
      </w:pPr>
      <w:r>
        <w:rPr>
          <w:rFonts w:hint="eastAsia" w:ascii="仿宋_GB2312" w:hAnsi="仿宋_GB2312" w:eastAsia="仿宋_GB2312" w:cs="仿宋_GB2312"/>
          <w:b/>
          <w:bCs/>
          <w:color w:val="auto"/>
          <w:kern w:val="2"/>
          <w:sz w:val="32"/>
          <w:szCs w:val="32"/>
          <w:shd w:val="clear" w:color="auto" w:fill="auto"/>
          <w:lang w:bidi="ar"/>
        </w:rPr>
        <w:t>（二）大数据分析应用与决策赛道</w:t>
      </w:r>
    </w:p>
    <w:p w14:paraId="1B90346E">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大数据分析应用与决策赛道分为校内赛和省级总决赛</w:t>
      </w:r>
      <w:r>
        <w:rPr>
          <w:rFonts w:hint="eastAsia" w:ascii="仿宋_GB2312" w:hAnsi="仿宋_GB2312" w:eastAsia="仿宋_GB2312" w:cs="仿宋_GB2312"/>
          <w:sz w:val="32"/>
          <w:szCs w:val="32"/>
          <w:lang w:eastAsia="zh-CN"/>
        </w:rPr>
        <w:t>两</w:t>
      </w:r>
      <w:r>
        <w:rPr>
          <w:rFonts w:hint="eastAsia" w:ascii="仿宋_GB2312" w:hAnsi="仿宋_GB2312" w:eastAsia="仿宋_GB2312" w:cs="仿宋_GB2312"/>
          <w:sz w:val="32"/>
          <w:szCs w:val="32"/>
        </w:rPr>
        <w:t>个阶段。</w:t>
      </w:r>
    </w:p>
    <w:p w14:paraId="28CFC7FD">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校内赛：各院校自行组织校内评比，择优选拔参赛队伍，每校</w:t>
      </w:r>
      <w:r>
        <w:rPr>
          <w:rFonts w:hint="eastAsia" w:ascii="仿宋_GB2312" w:hAnsi="仿宋_GB2312" w:eastAsia="仿宋_GB2312" w:cs="仿宋_GB2312"/>
          <w:sz w:val="32"/>
          <w:szCs w:val="32"/>
          <w:lang w:val="en-US" w:eastAsia="zh-CN"/>
        </w:rPr>
        <w:t>不超过3</w:t>
      </w:r>
      <w:r>
        <w:rPr>
          <w:rFonts w:hint="eastAsia" w:ascii="仿宋_GB2312" w:hAnsi="仿宋_GB2312" w:eastAsia="仿宋_GB2312" w:cs="仿宋_GB2312"/>
          <w:sz w:val="32"/>
          <w:szCs w:val="32"/>
        </w:rPr>
        <w:t>支队伍参加省级</w:t>
      </w:r>
      <w:r>
        <w:rPr>
          <w:rFonts w:hint="eastAsia" w:ascii="仿宋_GB2312" w:hAnsi="仿宋_GB2312" w:eastAsia="仿宋_GB2312" w:cs="仿宋_GB2312"/>
          <w:sz w:val="32"/>
          <w:szCs w:val="32"/>
          <w:lang w:eastAsia="zh-CN"/>
        </w:rPr>
        <w:t>总决</w:t>
      </w:r>
      <w:r>
        <w:rPr>
          <w:rFonts w:hint="eastAsia" w:ascii="仿宋_GB2312" w:hAnsi="仿宋_GB2312" w:eastAsia="仿宋_GB2312" w:cs="仿宋_GB2312"/>
          <w:sz w:val="32"/>
          <w:szCs w:val="32"/>
        </w:rPr>
        <w:t>赛。</w:t>
      </w:r>
    </w:p>
    <w:p w14:paraId="3B2504EC">
      <w:pPr>
        <w:shd w:val="clear" w:color="auto" w:fill="FFFFFF"/>
        <w:adjustRightInd w:val="0"/>
        <w:snapToGrid w:val="0"/>
        <w:spacing w:line="560" w:lineRule="exact"/>
        <w:ind w:firstLine="964"/>
        <w:rPr>
          <w:rFonts w:ascii="仿宋_GB2312" w:hAnsi="仿宋_GB2312" w:cs="仿宋_GB2312"/>
          <w:sz w:val="32"/>
          <w:szCs w:val="32"/>
        </w:rPr>
      </w:pPr>
      <w:r>
        <w:rPr>
          <w:rFonts w:hint="eastAsia" w:ascii="仿宋_GB2312" w:hAnsi="仿宋_GB2312" w:eastAsia="仿宋_GB2312" w:cs="仿宋_GB2312"/>
          <w:sz w:val="32"/>
          <w:szCs w:val="32"/>
        </w:rPr>
        <w:t>省级总决赛：每支参赛队由4名学生组成，完成财务大数据技术应用。竞赛内容涵盖主要有大数据概念及特点、大数据概念及特点、财务大数据职业判断考核、数据采集、数据处理、数据分析与可视化。</w:t>
      </w:r>
    </w:p>
    <w:p w14:paraId="0EFA182A">
      <w:pPr>
        <w:numPr>
          <w:ilvl w:val="0"/>
          <w:numId w:val="0"/>
        </w:numPr>
        <w:shd w:val="clear" w:color="auto" w:fill="FFFFFF"/>
        <w:adjustRightInd w:val="0"/>
        <w:snapToGrid w:val="0"/>
        <w:spacing w:line="560" w:lineRule="exact"/>
        <w:ind w:firstLine="643" w:firstLineChars="200"/>
        <w:outlineLvl w:val="9"/>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（三）</w:t>
      </w:r>
      <w:r>
        <w:rPr>
          <w:rFonts w:hint="eastAsia" w:ascii="仿宋_GB2312" w:hAnsi="仿宋_GB2312" w:eastAsia="仿宋_GB2312" w:cs="仿宋_GB2312"/>
          <w:b/>
          <w:bCs/>
          <w:sz w:val="32"/>
          <w:szCs w:val="32"/>
          <w:lang w:eastAsia="zh-CN" w:bidi="ar"/>
        </w:rPr>
        <w:t>双碳模拟经营实战</w:t>
      </w:r>
      <w:r>
        <w:rPr>
          <w:rFonts w:hint="eastAsia" w:ascii="仿宋_GB2312" w:hAnsi="仿宋_GB2312" w:eastAsia="仿宋_GB2312" w:cs="仿宋_GB2312"/>
          <w:b/>
          <w:bCs/>
          <w:sz w:val="32"/>
          <w:szCs w:val="32"/>
          <w:lang w:bidi="ar"/>
        </w:rPr>
        <w:t>赛道</w:t>
      </w:r>
    </w:p>
    <w:p w14:paraId="7F04B260">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双碳模拟经营实战</w:t>
      </w:r>
      <w:r>
        <w:rPr>
          <w:rFonts w:hint="eastAsia" w:ascii="仿宋_GB2312" w:hAnsi="仿宋_GB2312" w:eastAsia="仿宋_GB2312" w:cs="仿宋_GB2312"/>
          <w:sz w:val="32"/>
          <w:szCs w:val="32"/>
        </w:rPr>
        <w:t>赛道分为校内赛和省级总决赛</w:t>
      </w:r>
      <w:r>
        <w:rPr>
          <w:rFonts w:hint="eastAsia" w:ascii="仿宋_GB2312" w:hAnsi="仿宋_GB2312" w:eastAsia="仿宋_GB2312" w:cs="仿宋_GB2312"/>
          <w:sz w:val="32"/>
          <w:szCs w:val="32"/>
          <w:lang w:eastAsia="zh-CN"/>
        </w:rPr>
        <w:t>两</w:t>
      </w:r>
      <w:r>
        <w:rPr>
          <w:rFonts w:hint="eastAsia" w:ascii="仿宋_GB2312" w:hAnsi="仿宋_GB2312" w:eastAsia="仿宋_GB2312" w:cs="仿宋_GB2312"/>
          <w:sz w:val="32"/>
          <w:szCs w:val="32"/>
        </w:rPr>
        <w:t>个阶段。</w:t>
      </w:r>
    </w:p>
    <w:p w14:paraId="1550F63B">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校内赛：各院校自行组织校内评比，择优选拔参赛队伍，每校</w:t>
      </w:r>
      <w:r>
        <w:rPr>
          <w:rFonts w:hint="eastAsia" w:ascii="仿宋_GB2312" w:hAnsi="仿宋_GB2312" w:eastAsia="仿宋_GB2312" w:cs="仿宋_GB2312"/>
          <w:sz w:val="32"/>
          <w:szCs w:val="32"/>
          <w:lang w:val="en-US" w:eastAsia="zh-CN"/>
        </w:rPr>
        <w:t>不超过3</w:t>
      </w:r>
      <w:r>
        <w:rPr>
          <w:rFonts w:hint="eastAsia" w:ascii="仿宋_GB2312" w:hAnsi="仿宋_GB2312" w:eastAsia="仿宋_GB2312" w:cs="仿宋_GB2312"/>
          <w:sz w:val="32"/>
          <w:szCs w:val="32"/>
        </w:rPr>
        <w:t>支队伍参加省级</w:t>
      </w:r>
      <w:r>
        <w:rPr>
          <w:rFonts w:hint="eastAsia" w:ascii="仿宋_GB2312" w:hAnsi="仿宋_GB2312" w:eastAsia="仿宋_GB2312" w:cs="仿宋_GB2312"/>
          <w:sz w:val="32"/>
          <w:szCs w:val="32"/>
          <w:lang w:eastAsia="zh-CN"/>
        </w:rPr>
        <w:t>总决</w:t>
      </w:r>
      <w:r>
        <w:rPr>
          <w:rFonts w:hint="eastAsia" w:ascii="仿宋_GB2312" w:hAnsi="仿宋_GB2312" w:eastAsia="仿宋_GB2312" w:cs="仿宋_GB2312"/>
          <w:sz w:val="32"/>
          <w:szCs w:val="32"/>
        </w:rPr>
        <w:t>赛。</w:t>
      </w:r>
    </w:p>
    <w:p w14:paraId="0AB57C75">
      <w:pPr>
        <w:shd w:val="clear" w:color="auto" w:fill="FFFFFF"/>
        <w:adjustRightInd w:val="0"/>
        <w:snapToGrid w:val="0"/>
        <w:spacing w:line="560" w:lineRule="exact"/>
        <w:ind w:firstLine="640" w:firstLineChars="200"/>
        <w:rPr>
          <w:rFonts w:ascii="仿宋_GB2312" w:hAnsi="仿宋_GB2312" w:eastAsia="仿宋_GB2312" w:cs="仿宋_GB2312"/>
          <w:sz w:val="32"/>
          <w:szCs w:val="32"/>
          <w:highlight w:val="yellow"/>
        </w:rPr>
      </w:pPr>
      <w:r>
        <w:rPr>
          <w:rFonts w:hint="eastAsia" w:ascii="仿宋_GB2312" w:hAnsi="仿宋_GB2312" w:eastAsia="仿宋_GB2312" w:cs="仿宋_GB2312"/>
          <w:sz w:val="32"/>
          <w:szCs w:val="32"/>
        </w:rPr>
        <w:t>省级总决赛：每支参赛队由</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名学生组成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highlight w:val="none"/>
        </w:rPr>
        <w:t>团队</w:t>
      </w:r>
      <w:r>
        <w:rPr>
          <w:rFonts w:hint="eastAsia" w:ascii="仿宋_GB2312" w:hAnsi="仿宋_GB2312" w:eastAsia="仿宋_GB2312" w:cs="仿宋_GB2312"/>
          <w:sz w:val="32"/>
          <w:szCs w:val="32"/>
          <w:highlight w:val="none"/>
          <w:lang w:val="en-US" w:eastAsia="zh-CN"/>
        </w:rPr>
        <w:t>模拟</w:t>
      </w:r>
      <w:r>
        <w:rPr>
          <w:rFonts w:hint="eastAsia" w:ascii="仿宋_GB2312" w:hAnsi="仿宋_GB2312" w:eastAsia="仿宋_GB2312" w:cs="仿宋_GB2312"/>
          <w:sz w:val="32"/>
          <w:szCs w:val="32"/>
          <w:highlight w:val="none"/>
        </w:rPr>
        <w:t>经营一家企业，根据“碳达峰”“碳中和”在企业中的真实应用，参与在双碳战略下的企业经营决策。在经营过程中，各参赛队根据既定的资金规模及企业生产经营条件，基于相同的经营环境条件和模拟经营规则，在市场博弈过程中连续从事5个年度的经营活动，根据最终经营成果决出排名。</w:t>
      </w:r>
    </w:p>
    <w:p w14:paraId="04707F69">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四</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数字经济决策创新赛道</w:t>
      </w:r>
    </w:p>
    <w:p w14:paraId="5A662958">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数字经济决策创新</w:t>
      </w:r>
      <w:r>
        <w:rPr>
          <w:rFonts w:ascii="仿宋_GB2312" w:hAnsi="仿宋_GB2312" w:eastAsia="仿宋_GB2312" w:cs="仿宋_GB2312"/>
          <w:sz w:val="32"/>
          <w:szCs w:val="32"/>
        </w:rPr>
        <w:t>赛道分为校内赛和省级总决赛</w:t>
      </w:r>
      <w:r>
        <w:rPr>
          <w:rFonts w:hint="eastAsia" w:ascii="仿宋_GB2312" w:hAnsi="仿宋_GB2312" w:eastAsia="仿宋_GB2312" w:cs="仿宋_GB2312"/>
          <w:sz w:val="32"/>
          <w:szCs w:val="32"/>
          <w:lang w:val="en-US" w:eastAsia="zh-CN"/>
        </w:rPr>
        <w:t>两</w:t>
      </w:r>
      <w:r>
        <w:rPr>
          <w:rFonts w:ascii="仿宋_GB2312" w:hAnsi="仿宋_GB2312" w:eastAsia="仿宋_GB2312" w:cs="仿宋_GB2312"/>
          <w:sz w:val="32"/>
          <w:szCs w:val="32"/>
        </w:rPr>
        <w:t>个阶段。</w:t>
      </w:r>
    </w:p>
    <w:p w14:paraId="5335B9A0">
      <w:pPr>
        <w:shd w:val="clear" w:color="auto" w:fill="FFFFFF"/>
        <w:adjustRightInd w:val="0"/>
        <w:snapToGrid w:val="0"/>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校内赛：各院校自行组织校内评比，择优选拔参赛队伍，</w:t>
      </w:r>
      <w:r>
        <w:rPr>
          <w:rFonts w:hint="eastAsia" w:ascii="仿宋_GB2312" w:hAnsi="仿宋_GB2312" w:eastAsia="仿宋_GB2312" w:cs="仿宋_GB2312"/>
          <w:sz w:val="32"/>
          <w:szCs w:val="32"/>
        </w:rPr>
        <w:t>每校</w:t>
      </w:r>
      <w:r>
        <w:rPr>
          <w:rFonts w:hint="eastAsia" w:ascii="仿宋_GB2312" w:hAnsi="仿宋_GB2312" w:eastAsia="仿宋_GB2312" w:cs="仿宋_GB2312"/>
          <w:sz w:val="32"/>
          <w:szCs w:val="32"/>
          <w:lang w:val="en-US" w:eastAsia="zh-CN"/>
        </w:rPr>
        <w:t>不超过3</w:t>
      </w:r>
      <w:r>
        <w:rPr>
          <w:rFonts w:hint="eastAsia" w:ascii="仿宋_GB2312" w:hAnsi="仿宋_GB2312" w:eastAsia="仿宋_GB2312" w:cs="仿宋_GB2312"/>
          <w:sz w:val="32"/>
          <w:szCs w:val="32"/>
        </w:rPr>
        <w:t>支队伍</w:t>
      </w:r>
      <w:r>
        <w:rPr>
          <w:rFonts w:hint="eastAsia" w:ascii="仿宋_GB2312" w:hAnsi="仿宋_GB2312" w:eastAsia="仿宋_GB2312" w:cs="仿宋_GB2312"/>
          <w:sz w:val="32"/>
          <w:szCs w:val="32"/>
          <w:lang w:val="en-US" w:eastAsia="zh-CN"/>
        </w:rPr>
        <w:t>参加省级总决赛。</w:t>
      </w:r>
    </w:p>
    <w:p w14:paraId="12F8D45D">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省级总决赛：每支参赛队由4名学生组成。竞赛内容涵盖</w:t>
      </w:r>
      <w:r>
        <w:rPr>
          <w:rFonts w:ascii="仿宋_GB2312" w:hAnsi="仿宋_GB2312" w:eastAsia="仿宋_GB2312" w:cs="仿宋_GB2312"/>
          <w:sz w:val="32"/>
          <w:szCs w:val="32"/>
          <w:highlight w:val="none"/>
        </w:rPr>
        <w:t>“数字经济决策”、“数字经济大数据分析”</w:t>
      </w:r>
      <w:r>
        <w:rPr>
          <w:rFonts w:hint="eastAsia" w:ascii="仿宋_GB2312" w:hAnsi="仿宋_GB2312" w:eastAsia="仿宋_GB2312" w:cs="仿宋_GB2312"/>
          <w:sz w:val="32"/>
          <w:szCs w:val="32"/>
          <w:highlight w:val="none"/>
          <w:lang w:val="en-US" w:eastAsia="zh-CN"/>
        </w:rPr>
        <w:t>两个</w:t>
      </w:r>
      <w:r>
        <w:rPr>
          <w:rFonts w:hint="eastAsia" w:ascii="仿宋_GB2312" w:hAnsi="仿宋_GB2312" w:eastAsia="仿宋_GB2312" w:cs="仿宋_GB2312"/>
          <w:sz w:val="32"/>
          <w:szCs w:val="32"/>
          <w:highlight w:val="none"/>
        </w:rPr>
        <w:t>模块</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重点考察学生数字经济专业素养、数据分析处理能力、商业逻辑研判能力、团队协作统筹能力以及综合决策创新能力，全面检验参赛选手理论应用、实操研判与临场协同竞技水平。</w:t>
      </w:r>
    </w:p>
    <w:p w14:paraId="793BAF0B">
      <w:pPr>
        <w:widowControl/>
        <w:shd w:val="clear" w:color="auto" w:fill="FFFFFF"/>
        <w:adjustRightInd w:val="0"/>
        <w:snapToGrid w:val="0"/>
        <w:spacing w:line="560" w:lineRule="exact"/>
        <w:ind w:firstLine="640" w:firstLineChars="200"/>
        <w:jc w:val="left"/>
        <w:outlineLvl w:val="0"/>
        <w:rPr>
          <w:rFonts w:hint="eastAsia" w:ascii="黑体" w:hAnsi="黑体" w:eastAsia="黑体" w:cs="黑体"/>
          <w:kern w:val="0"/>
          <w:sz w:val="32"/>
          <w:szCs w:val="32"/>
          <w:shd w:val="clear" w:color="auto" w:fill="FFFFFF"/>
          <w:lang w:bidi="ar"/>
        </w:rPr>
      </w:pPr>
      <w:r>
        <w:rPr>
          <w:rFonts w:ascii="黑体" w:hAnsi="黑体" w:eastAsia="黑体" w:cs="黑体"/>
          <w:kern w:val="0"/>
          <w:sz w:val="32"/>
          <w:szCs w:val="32"/>
          <w:shd w:val="clear" w:color="auto" w:fill="FFFFFF"/>
          <w:lang w:bidi="ar"/>
        </w:rPr>
        <w:t>六、竞赛流程</w:t>
      </w:r>
    </w:p>
    <w:p w14:paraId="0178118F">
      <w:pPr>
        <w:shd w:val="clear" w:color="auto" w:fill="FFFFFF"/>
        <w:adjustRightInd w:val="0"/>
        <w:snapToGrid w:val="0"/>
        <w:spacing w:line="560" w:lineRule="exact"/>
        <w:ind w:firstLine="643" w:firstLineChars="20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（一）ERP企业经营模拟赛道</w:t>
      </w:r>
    </w:p>
    <w:p w14:paraId="10371ECD">
      <w:pPr>
        <w:shd w:val="clear" w:color="auto" w:fill="FFFFFF"/>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1.校内赛</w:t>
      </w:r>
    </w:p>
    <w:p w14:paraId="78179911">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各院校按照章程在规定时间内自行完成校内赛的组织和评比环节。</w:t>
      </w:r>
    </w:p>
    <w:p w14:paraId="51E387BC">
      <w:pPr>
        <w:shd w:val="clear" w:color="auto" w:fill="FFFFFF"/>
        <w:adjustRightInd w:val="0"/>
        <w:snapToGrid w:val="0"/>
        <w:spacing w:line="560" w:lineRule="exact"/>
        <w:ind w:firstLine="643" w:firstLineChars="200"/>
        <w:outlineLvl w:val="2"/>
        <w:rPr>
          <w:rFonts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.省级总决赛</w:t>
      </w:r>
    </w:p>
    <w:p w14:paraId="1747B755">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赛项立足实际工作场景，重点考核选手企业经营管理综合职业能力和数智化素养。参赛学生根据企业背景资料，利用竞赛平台模拟企业从信息化经营模拟阶段到数字化经营模拟阶段的全过程。竞赛分为四个岗位：项目总监、运营总监、营销总监、人力资源总监，协同完成四个年度企业经营活动。信息化经营模拟阶段主要考察团队战略目标的确定、分析、选择与评价、实施、控制等企业战略管理基本能力，运营规划、质量管理及营销、供应链、财务管理等企业运营管理能力</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数字化经营模拟阶段主要考察团队利用智能算法、RPA机器人、数据可视化分析等数字化技术，进行企业数字化管理与协同、数字信息分析与决策，使企业生产、加工、贮存、人力、营销等管理活动得以转型</w:t>
      </w:r>
      <w:r>
        <w:rPr>
          <w:rFonts w:hint="eastAsia" w:ascii="仿宋_GB2312" w:hAnsi="仿宋_GB2312" w:eastAsia="仿宋_GB2312" w:cs="仿宋_GB2312"/>
          <w:sz w:val="32"/>
          <w:szCs w:val="32"/>
        </w:rPr>
        <w:t>。</w:t>
      </w:r>
    </w:p>
    <w:p w14:paraId="3E83BF58">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比赛模拟经营年数4年16季度，考试时长480分钟，每支参赛团队的4名队员共同完成，以第四年的系统分数排名顺序确定评分，作为该环节得分。</w:t>
      </w:r>
    </w:p>
    <w:p w14:paraId="2DB9540E">
      <w:pPr>
        <w:shd w:val="clear" w:color="auto" w:fill="FFFFFF"/>
        <w:adjustRightInd w:val="0"/>
        <w:snapToGrid w:val="0"/>
        <w:spacing w:line="560" w:lineRule="exact"/>
        <w:ind w:firstLine="643" w:firstLineChars="20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（二）大数据分析应用与决策赛道</w:t>
      </w:r>
    </w:p>
    <w:p w14:paraId="21436D77">
      <w:pPr>
        <w:shd w:val="clear" w:color="auto" w:fill="FFFFFF"/>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1.校内赛</w:t>
      </w:r>
    </w:p>
    <w:p w14:paraId="5F54D48C">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各院校按照章程在规定时间内完成校内赛的组织和评比环节。</w:t>
      </w:r>
    </w:p>
    <w:p w14:paraId="7D545230">
      <w:pPr>
        <w:shd w:val="clear" w:color="auto" w:fill="FFFFFF"/>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.省级总决赛</w:t>
      </w:r>
    </w:p>
    <w:p w14:paraId="4ABB9545">
      <w:pPr>
        <w:widowControl/>
        <w:shd w:val="clear" w:color="auto" w:fill="FFFFFF"/>
        <w:adjustRightInd w:val="0"/>
        <w:snapToGrid w:val="0"/>
        <w:spacing w:line="560" w:lineRule="exact"/>
        <w:ind w:firstLine="640" w:firstLineChars="200"/>
        <w:jc w:val="left"/>
        <w:rPr>
          <w:rFonts w:ascii="仿宋_GB2312" w:hAnsi="Microsoft YaHei UI" w:eastAsia="仿宋_GB2312" w:cs="仿宋_GB2312"/>
          <w:color w:val="000000"/>
          <w:kern w:val="0"/>
          <w:sz w:val="32"/>
          <w:szCs w:val="32"/>
          <w:highlight w:val="none"/>
          <w:shd w:val="clear" w:color="auto" w:fill="FFFFFF"/>
          <w:lang w:bidi="ar"/>
        </w:rPr>
      </w:pPr>
      <w:r>
        <w:rPr>
          <w:rFonts w:hint="eastAsia" w:ascii="仿宋_GB2312" w:hAnsi="Microsoft YaHei UI" w:eastAsia="仿宋_GB2312" w:cs="仿宋_GB2312"/>
          <w:color w:val="000000"/>
          <w:kern w:val="0"/>
          <w:sz w:val="32"/>
          <w:szCs w:val="32"/>
          <w:highlight w:val="none"/>
          <w:shd w:val="clear" w:color="auto" w:fill="FFFFFF"/>
          <w:lang w:bidi="ar"/>
        </w:rPr>
        <w:t>本次比赛大数据分析应用与决策赛道基于数字经济时代商业领域大数据应用人才需求，结合当前大数据等现代信息技术在商业领域的最新应用，依托高度场景化、沉浸式的真实商用大数据分析系统，为学生搭建一个理论与实践一体的综合性竞赛平台。</w:t>
      </w:r>
    </w:p>
    <w:p w14:paraId="6B674D2E">
      <w:pPr>
        <w:shd w:val="clear" w:color="auto" w:fill="FFFFFF"/>
        <w:adjustRightInd w:val="0"/>
        <w:snapToGrid w:val="0"/>
        <w:spacing w:line="560" w:lineRule="exact"/>
        <w:ind w:firstLine="643" w:firstLineChars="200"/>
        <w:outlineLvl w:val="1"/>
        <w:rPr>
          <w:rFonts w:ascii="仿宋_GB2312" w:hAnsi="Microsoft YaHei UI" w:eastAsia="仿宋_GB2312" w:cs="仿宋_GB2312"/>
          <w:color w:val="000000"/>
          <w:kern w:val="0"/>
          <w:sz w:val="32"/>
          <w:szCs w:val="32"/>
          <w:shd w:val="clear" w:color="auto" w:fill="FFFFFF"/>
          <w:lang w:bidi="ar"/>
        </w:rPr>
      </w:pPr>
      <w:r>
        <w:rPr>
          <w:rFonts w:hint="eastAsia" w:ascii="仿宋_GB2312" w:hAnsi="仿宋_GB2312" w:eastAsia="仿宋_GB2312" w:cs="仿宋_GB2312"/>
          <w:b/>
          <w:bCs/>
          <w:sz w:val="32"/>
          <w:szCs w:val="32"/>
        </w:rPr>
        <w:t>（三）</w:t>
      </w:r>
      <w:r>
        <w:rPr>
          <w:rFonts w:hint="eastAsia" w:ascii="仿宋_GB2312" w:hAnsi="仿宋_GB2312" w:eastAsia="仿宋_GB2312" w:cs="仿宋_GB2312"/>
          <w:b/>
          <w:bCs/>
          <w:sz w:val="32"/>
          <w:szCs w:val="32"/>
          <w:lang w:eastAsia="zh-CN" w:bidi="ar"/>
        </w:rPr>
        <w:t>双碳模拟经营实战</w:t>
      </w:r>
      <w:r>
        <w:rPr>
          <w:rFonts w:hint="eastAsia" w:ascii="仿宋_GB2312" w:hAnsi="仿宋_GB2312" w:eastAsia="仿宋_GB2312" w:cs="仿宋_GB2312"/>
          <w:b/>
          <w:bCs/>
          <w:sz w:val="32"/>
          <w:szCs w:val="32"/>
          <w:lang w:bidi="ar"/>
        </w:rPr>
        <w:t>赛道</w:t>
      </w:r>
    </w:p>
    <w:p w14:paraId="7D2D77B3">
      <w:pPr>
        <w:shd w:val="clear" w:color="auto" w:fill="FFFFFF"/>
        <w:adjustRightInd w:val="0"/>
        <w:snapToGrid w:val="0"/>
        <w:spacing w:line="560" w:lineRule="exact"/>
        <w:ind w:firstLine="643" w:firstLineChars="200"/>
        <w:outlineLvl w:val="2"/>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1.校内赛</w:t>
      </w:r>
    </w:p>
    <w:p w14:paraId="32DEB4D6">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各院校按照章程在规定时间内完成校内赛的组织和评比环节。</w:t>
      </w:r>
    </w:p>
    <w:p w14:paraId="03F57305">
      <w:pPr>
        <w:shd w:val="clear" w:color="auto" w:fill="FFFFFF"/>
        <w:adjustRightInd w:val="0"/>
        <w:snapToGrid w:val="0"/>
        <w:spacing w:line="560" w:lineRule="exact"/>
        <w:ind w:firstLine="643" w:firstLineChars="200"/>
        <w:rPr>
          <w:rFonts w:ascii="仿宋_GB2312" w:hAnsi="仿宋_GB2312" w:eastAsia="仿宋_GB2312" w:cs="仿宋_GB2312"/>
          <w:b w:val="0"/>
          <w:bCs w:val="0"/>
          <w:sz w:val="32"/>
          <w:szCs w:val="32"/>
          <w:highlight w:val="yellow"/>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.省级总决赛</w:t>
      </w:r>
    </w:p>
    <w:p w14:paraId="3F72093D">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本次大赛，</w:t>
      </w:r>
      <w:r>
        <w:rPr>
          <w:rFonts w:hint="eastAsia" w:ascii="仿宋_GB2312" w:hAnsi="仿宋_GB2312" w:eastAsia="仿宋_GB2312" w:cs="仿宋_GB2312"/>
          <w:sz w:val="32"/>
          <w:szCs w:val="32"/>
        </w:rPr>
        <w:t>选手需要学习内置于平台中的物料、煤电绿电价格、碳资产定价、物料碳排放、生产线耗电和排放参数，以及订单选单、料电耗用规则、碳排放核算规则等模拟经营规则，基于规则研究和经营策略做出各项经营决策。</w:t>
      </w:r>
    </w:p>
    <w:p w14:paraId="476263C6">
      <w:pPr>
        <w:shd w:val="clear" w:color="auto" w:fill="FFFFFF"/>
        <w:adjustRightInd w:val="0"/>
        <w:snapToGrid w:val="0"/>
        <w:spacing w:line="560" w:lineRule="exact"/>
        <w:ind w:firstLine="640" w:firstLineChars="200"/>
        <w:rPr>
          <w:rFonts w:ascii="仿宋_GB2312" w:hAnsi="仿宋_GB2312" w:eastAsia="仿宋_GB2312" w:cs="仿宋_GB2312"/>
          <w:b w:val="0"/>
          <w:bCs w:val="0"/>
          <w:sz w:val="32"/>
          <w:szCs w:val="32"/>
          <w:highlight w:val="yellow"/>
        </w:rPr>
      </w:pPr>
      <w:r>
        <w:rPr>
          <w:rFonts w:hint="eastAsia" w:ascii="仿宋_GB2312" w:hAnsi="仿宋_GB2312" w:eastAsia="仿宋_GB2312" w:cs="仿宋_GB2312"/>
          <w:sz w:val="32"/>
          <w:szCs w:val="32"/>
        </w:rPr>
        <w:t>比赛模拟经营年数</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年，考试时长</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0分钟，每支参赛团队的</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名队员共同完成，最后未破产的、以所有者权益排名以及填制报表成绩综合确定比赛成绩。</w:t>
      </w:r>
    </w:p>
    <w:p w14:paraId="3822C393">
      <w:pPr>
        <w:shd w:val="clear" w:color="auto" w:fill="FFFFFF"/>
        <w:adjustRightInd w:val="0"/>
        <w:snapToGrid w:val="0"/>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（四）数字</w:t>
      </w: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rPr>
        <w:t>决策创新赛道</w:t>
      </w:r>
    </w:p>
    <w:p w14:paraId="052A7D5E">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1.校内赛</w:t>
      </w:r>
    </w:p>
    <w:p w14:paraId="3B181D95">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各院校按照章程在规定时间内完成校内赛的组织和评比环节。</w:t>
      </w:r>
    </w:p>
    <w:p w14:paraId="75C03B46">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2.省级</w:t>
      </w:r>
      <w:r>
        <w:rPr>
          <w:rFonts w:hint="eastAsia" w:ascii="仿宋_GB2312" w:hAnsi="仿宋_GB2312" w:eastAsia="仿宋_GB2312" w:cs="仿宋_GB2312"/>
          <w:sz w:val="32"/>
          <w:szCs w:val="32"/>
          <w:lang w:val="en-US" w:eastAsia="zh-CN"/>
        </w:rPr>
        <w:t>总决</w:t>
      </w:r>
      <w:r>
        <w:rPr>
          <w:rFonts w:ascii="仿宋_GB2312" w:hAnsi="仿宋_GB2312" w:eastAsia="仿宋_GB2312" w:cs="仿宋_GB2312"/>
          <w:sz w:val="32"/>
          <w:szCs w:val="32"/>
        </w:rPr>
        <w:t>赛</w:t>
      </w:r>
    </w:p>
    <w:p w14:paraId="384C4C47">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本次比赛数字经济决策创新赛道</w:t>
      </w:r>
      <w:r>
        <w:rPr>
          <w:rFonts w:hint="eastAsia" w:ascii="仿宋_GB2312" w:hAnsi="仿宋_GB2312" w:eastAsia="仿宋_GB2312" w:cs="仿宋_GB2312"/>
          <w:sz w:val="32"/>
          <w:szCs w:val="32"/>
        </w:rPr>
        <w:t>沿用两大竞赛</w:t>
      </w:r>
      <w:r>
        <w:rPr>
          <w:rFonts w:hint="eastAsia" w:ascii="仿宋_GB2312" w:hAnsi="仿宋_GB2312" w:eastAsia="仿宋_GB2312" w:cs="仿宋_GB2312"/>
          <w:sz w:val="32"/>
          <w:szCs w:val="32"/>
          <w:lang w:val="en-US" w:eastAsia="zh-CN"/>
        </w:rPr>
        <w:t>环节</w:t>
      </w:r>
      <w:r>
        <w:rPr>
          <w:rFonts w:hint="eastAsia" w:ascii="仿宋_GB2312" w:hAnsi="仿宋_GB2312" w:eastAsia="仿宋_GB2312" w:cs="仿宋_GB2312"/>
          <w:sz w:val="32"/>
          <w:szCs w:val="32"/>
        </w:rPr>
        <w:t>统一考核标准，采用同台竞技、统一评分规则：</w:t>
      </w:r>
    </w:p>
    <w:p w14:paraId="33158712">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数字经济决策</w:t>
      </w:r>
      <w:r>
        <w:rPr>
          <w:rFonts w:hint="eastAsia" w:ascii="仿宋_GB2312" w:hAnsi="仿宋_GB2312" w:eastAsia="仿宋_GB2312" w:cs="仿宋_GB2312"/>
          <w:sz w:val="32"/>
          <w:szCs w:val="32"/>
          <w:lang w:val="en-US" w:eastAsia="zh-CN"/>
        </w:rPr>
        <w:t>环节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数字经济智能对抗实训平台为竞赛载体，紧扣平台经济核心逻辑，以真实市场数据为驱动，从数字技术应用、数智化经营决策、数字安全防护等维度，模拟平台企业完整经营周期。参赛队伍全程自主制定经营策略，在多队市场对抗中比拼战略布局、动态决策与风险管控能力，深入理解不同市场竞争形态的运行规律。</w:t>
      </w:r>
    </w:p>
    <w:p w14:paraId="14B993C4">
      <w:pPr>
        <w:shd w:val="clear" w:color="auto" w:fill="FFFFFF"/>
        <w:adjustRightInd w:val="0"/>
        <w:snapToGrid w:val="0"/>
        <w:spacing w:line="56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数字经济大数据分析</w:t>
      </w:r>
      <w:r>
        <w:rPr>
          <w:rFonts w:hint="eastAsia" w:ascii="仿宋_GB2312" w:hAnsi="仿宋_GB2312" w:eastAsia="仿宋_GB2312" w:cs="仿宋_GB2312"/>
          <w:sz w:val="32"/>
          <w:szCs w:val="32"/>
          <w:lang w:val="en-US" w:eastAsia="zh-CN"/>
        </w:rPr>
        <w:t>环节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托数字经济综合实训平台，聚焦数字经济典型行业场景，参赛团队运用专业大数据技术工具，完成行业海量数据整理、特征挖掘与深度分析；借助平台各类算法模型，开展经营诊断、趋势预判与价值提炼，输出完整数据分析报告，考核学生数据处理、模型应用、逻辑分析及商业赋能能力。</w:t>
      </w:r>
    </w:p>
    <w:p w14:paraId="01FDAD2A">
      <w:pPr>
        <w:widowControl/>
        <w:shd w:val="clear" w:color="auto" w:fill="FFFFFF"/>
        <w:adjustRightInd w:val="0"/>
        <w:snapToGrid w:val="0"/>
        <w:spacing w:line="560" w:lineRule="exact"/>
        <w:ind w:firstLine="640" w:firstLineChars="200"/>
        <w:jc w:val="left"/>
        <w:outlineLvl w:val="0"/>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七</w:t>
      </w:r>
      <w:r>
        <w:rPr>
          <w:rFonts w:ascii="黑体" w:hAnsi="黑体" w:eastAsia="黑体" w:cs="黑体"/>
          <w:kern w:val="0"/>
          <w:sz w:val="32"/>
          <w:szCs w:val="32"/>
          <w:shd w:val="clear" w:color="auto" w:fill="FFFFFF"/>
          <w:lang w:bidi="ar"/>
        </w:rPr>
        <w:t>、竞赛规则</w:t>
      </w:r>
    </w:p>
    <w:p w14:paraId="49EB7E42">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3" w:firstLineChars="200"/>
        <w:textAlignment w:val="auto"/>
        <w:outlineLvl w:val="1"/>
        <w:rPr>
          <w:rFonts w:ascii="仿宋_GB2312" w:hAnsi="仿宋_GB2312" w:eastAsia="仿宋_GB2312" w:cs="仿宋_GB2312"/>
          <w:sz w:val="32"/>
          <w:szCs w:val="32"/>
        </w:rPr>
      </w:pPr>
      <w:r>
        <w:rPr>
          <w:rFonts w:hint="eastAsia" w:ascii="仿宋_GB2312" w:hAnsi="仿宋_GB2312" w:eastAsia="仿宋_GB2312" w:cs="仿宋_GB2312"/>
          <w:b/>
          <w:bCs/>
          <w:sz w:val="32"/>
          <w:szCs w:val="32"/>
        </w:rPr>
        <w:t>（一）参赛资格</w:t>
      </w:r>
    </w:p>
    <w:p w14:paraId="5B91BC4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安徽省内高校的全日制在校本、专科生，均可组队参赛。</w:t>
      </w:r>
    </w:p>
    <w:p w14:paraId="3BE1020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参赛选手所读专业须为管理类、经济类。</w:t>
      </w:r>
    </w:p>
    <w:p w14:paraId="6F9A6155">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ind w:firstLine="643" w:firstLineChars="200"/>
        <w:textAlignment w:val="auto"/>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二</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报名要求</w:t>
      </w:r>
    </w:p>
    <w:p w14:paraId="7263CA60">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highlight w:val="none"/>
          <w:lang w:val="en-US" w:eastAsia="zh-CN"/>
        </w:rPr>
        <w:t>各赛道</w:t>
      </w:r>
      <w:r>
        <w:rPr>
          <w:rFonts w:hint="eastAsia" w:ascii="仿宋_GB2312" w:hAnsi="仿宋_GB2312" w:eastAsia="仿宋_GB2312" w:cs="仿宋_GB2312"/>
          <w:sz w:val="32"/>
          <w:szCs w:val="32"/>
          <w:highlight w:val="none"/>
        </w:rPr>
        <w:t>各校通过校内赛，遴选确定</w:t>
      </w:r>
      <w:r>
        <w:rPr>
          <w:rFonts w:hint="eastAsia" w:ascii="仿宋_GB2312" w:hAnsi="仿宋_GB2312" w:eastAsia="仿宋_GB2312" w:cs="仿宋_GB2312"/>
          <w:color w:val="000000"/>
          <w:sz w:val="32"/>
          <w:szCs w:val="32"/>
          <w:highlight w:val="none"/>
        </w:rPr>
        <w:t>1-</w:t>
      </w:r>
      <w:r>
        <w:rPr>
          <w:rFonts w:hint="eastAsia" w:ascii="仿宋_GB2312" w:hAnsi="仿宋_GB2312" w:eastAsia="仿宋_GB2312" w:cs="仿宋_GB2312"/>
          <w:color w:val="000000"/>
          <w:sz w:val="32"/>
          <w:szCs w:val="32"/>
          <w:highlight w:val="none"/>
          <w:lang w:val="en-US" w:eastAsia="zh-CN"/>
        </w:rPr>
        <w:t>3</w:t>
      </w:r>
      <w:r>
        <w:rPr>
          <w:rFonts w:hint="eastAsia" w:ascii="仿宋_GB2312" w:hAnsi="仿宋_GB2312" w:eastAsia="仿宋_GB2312" w:cs="仿宋_GB2312"/>
          <w:color w:val="000000"/>
          <w:sz w:val="32"/>
          <w:szCs w:val="32"/>
          <w:highlight w:val="none"/>
        </w:rPr>
        <w:t>支</w:t>
      </w:r>
      <w:r>
        <w:rPr>
          <w:rFonts w:hint="eastAsia" w:ascii="仿宋_GB2312" w:hAnsi="仿宋_GB2312" w:eastAsia="仿宋_GB2312" w:cs="仿宋_GB2312"/>
          <w:sz w:val="32"/>
          <w:szCs w:val="32"/>
          <w:highlight w:val="none"/>
        </w:rPr>
        <w:t>参赛队伍参加</w:t>
      </w:r>
      <w:r>
        <w:rPr>
          <w:rFonts w:hint="eastAsia" w:ascii="仿宋_GB2312" w:hAnsi="仿宋_GB2312" w:eastAsia="仿宋_GB2312" w:cs="仿宋_GB2312"/>
          <w:sz w:val="32"/>
          <w:szCs w:val="32"/>
          <w:highlight w:val="none"/>
          <w:lang w:val="en-US" w:eastAsia="zh-CN"/>
        </w:rPr>
        <w:t>省</w:t>
      </w:r>
      <w:r>
        <w:rPr>
          <w:rFonts w:hint="eastAsia" w:ascii="仿宋_GB2312" w:hAnsi="仿宋_GB2312" w:eastAsia="仿宋_GB2312" w:cs="仿宋_GB2312"/>
          <w:sz w:val="32"/>
          <w:szCs w:val="32"/>
          <w:highlight w:val="none"/>
        </w:rPr>
        <w:t>赛</w:t>
      </w:r>
      <w:r>
        <w:rPr>
          <w:rFonts w:hint="eastAsia" w:ascii="仿宋_GB2312" w:hAnsi="仿宋_GB2312" w:eastAsia="仿宋_GB2312" w:cs="仿宋_GB2312"/>
          <w:sz w:val="32"/>
          <w:szCs w:val="32"/>
        </w:rPr>
        <w:t>，参赛队由所在学校安排1名专门老师担任</w:t>
      </w:r>
      <w:r>
        <w:rPr>
          <w:rFonts w:hint="eastAsia" w:ascii="仿宋_GB2312" w:hAnsi="仿宋_GB2312" w:eastAsia="仿宋_GB2312" w:cs="仿宋_GB2312"/>
          <w:sz w:val="32"/>
          <w:szCs w:val="32"/>
          <w:lang w:val="en-US" w:eastAsia="zh-CN"/>
        </w:rPr>
        <w:t>院校负责人</w:t>
      </w:r>
      <w:r>
        <w:rPr>
          <w:rFonts w:hint="eastAsia" w:ascii="仿宋_GB2312" w:hAnsi="仿宋_GB2312" w:eastAsia="仿宋_GB2312" w:cs="仿宋_GB2312"/>
          <w:sz w:val="32"/>
          <w:szCs w:val="32"/>
        </w:rPr>
        <w:t>统一向大赛组委会报名</w:t>
      </w:r>
      <w:r>
        <w:rPr>
          <w:rFonts w:hint="eastAsia" w:ascii="仿宋_GB2312" w:hAnsi="仿宋_GB2312" w:eastAsia="仿宋_GB2312" w:cs="仿宋_GB2312"/>
          <w:sz w:val="32"/>
          <w:szCs w:val="32"/>
          <w:lang w:val="en-US" w:eastAsia="zh-CN"/>
        </w:rPr>
        <w:t>审核</w:t>
      </w:r>
      <w:r>
        <w:rPr>
          <w:rFonts w:hint="eastAsia" w:ascii="仿宋_GB2312" w:hAnsi="仿宋_GB2312" w:eastAsia="仿宋_GB2312" w:cs="仿宋_GB2312"/>
          <w:sz w:val="32"/>
          <w:szCs w:val="32"/>
        </w:rPr>
        <w:t>，不接受个人报名。比赛以团队为单位，组队可跨年级、专业，但不得跨校，参赛团队由4人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注：双碳模拟经营实战赛道为3人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组成，参赛成员仅允许参与一支队伍进行报名参赛；每队不能超过2名教师作为指导教师，原则上同一指导老师最多指导2支参赛队伍，负责赛前辅导和参赛的组织工作。</w:t>
      </w:r>
    </w:p>
    <w:p w14:paraId="28978C44">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ind w:firstLine="643" w:firstLineChars="200"/>
        <w:textAlignment w:val="auto"/>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三</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报名方式</w:t>
      </w:r>
    </w:p>
    <w:p w14:paraId="42EC2EE2">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ind w:firstLine="640" w:firstLineChars="200"/>
        <w:textAlignment w:val="auto"/>
        <w:outlineLvl w:val="1"/>
        <w:rPr>
          <w:rFonts w:ascii="仿宋" w:hAnsi="仿宋" w:eastAsia="仿宋" w:cs="仿宋"/>
          <w:b/>
          <w:bCs/>
          <w:sz w:val="32"/>
          <w:szCs w:val="32"/>
          <w:highlight w:val="none"/>
          <w:shd w:val="clear" w:color="auto" w:fill="FFFFFF"/>
        </w:rPr>
      </w:pPr>
      <w:r>
        <w:rPr>
          <w:rFonts w:hint="eastAsia" w:ascii="仿宋_GB2312" w:hAnsi="仿宋_GB2312" w:eastAsia="仿宋_GB2312" w:cs="仿宋_GB2312"/>
          <w:b w:val="0"/>
          <w:bCs w:val="0"/>
          <w:sz w:val="32"/>
          <w:szCs w:val="32"/>
          <w:highlight w:val="none"/>
        </w:rPr>
        <w:t>参赛队员登录</w:t>
      </w:r>
      <w:r>
        <w:rPr>
          <w:rFonts w:hint="eastAsia" w:ascii="仿宋_GB2312" w:hAnsi="仿宋_GB2312" w:eastAsia="仿宋_GB2312" w:cs="仿宋_GB2312"/>
          <w:b w:val="0"/>
          <w:bCs w:val="0"/>
          <w:sz w:val="32"/>
          <w:szCs w:val="32"/>
          <w:highlight w:val="none"/>
          <w:lang w:val="en-US" w:eastAsia="zh-CN"/>
        </w:rPr>
        <w:t>报名网站</w:t>
      </w:r>
      <w:r>
        <w:rPr>
          <w:rFonts w:hint="eastAsia" w:ascii="仿宋_GB2312" w:hAnsi="仿宋_GB2312" w:eastAsia="仿宋_GB2312" w:cs="仿宋_GB2312"/>
          <w:b w:val="0"/>
          <w:bCs w:val="0"/>
          <w:sz w:val="32"/>
          <w:szCs w:val="32"/>
          <w:highlight w:val="none"/>
        </w:rPr>
        <w:t>（ahserpszhyyds.jcjyet.com）注册报名。</w:t>
      </w:r>
    </w:p>
    <w:p w14:paraId="1ADB4F18">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360" w:lineRule="auto"/>
        <w:ind w:firstLine="643" w:firstLineChars="200"/>
        <w:textAlignment w:val="auto"/>
        <w:outlineLvl w:val="1"/>
        <w:rPr>
          <w:rFonts w:hint="eastAsia" w:ascii="仿宋" w:hAnsi="仿宋" w:eastAsia="仿宋" w:cs="仿宋"/>
          <w:b/>
          <w:bCs/>
          <w:sz w:val="32"/>
          <w:szCs w:val="32"/>
          <w:shd w:val="clear" w:color="auto" w:fill="FFFFFF"/>
        </w:rPr>
      </w:pPr>
      <w:r>
        <w:rPr>
          <w:rFonts w:ascii="仿宋" w:hAnsi="仿宋" w:eastAsia="仿宋" w:cs="仿宋"/>
          <w:b/>
          <w:bCs/>
          <w:sz w:val="32"/>
          <w:szCs w:val="32"/>
          <w:shd w:val="clear" w:color="auto" w:fill="FFFFFF"/>
        </w:rPr>
        <w:t>（二）比赛时间安排</w:t>
      </w:r>
    </w:p>
    <w:tbl>
      <w:tblPr>
        <w:tblStyle w:val="7"/>
        <w:tblW w:w="5000" w:type="pct"/>
        <w:tblInd w:w="0" w:type="dxa"/>
        <w:tblLayout w:type="autofit"/>
        <w:tblCellMar>
          <w:top w:w="15" w:type="dxa"/>
          <w:left w:w="15" w:type="dxa"/>
          <w:bottom w:w="15" w:type="dxa"/>
          <w:right w:w="15" w:type="dxa"/>
        </w:tblCellMar>
      </w:tblPr>
      <w:tblGrid>
        <w:gridCol w:w="2758"/>
        <w:gridCol w:w="2463"/>
        <w:gridCol w:w="3301"/>
      </w:tblGrid>
      <w:tr w14:paraId="658CD3FF">
        <w:tblPrEx>
          <w:tblCellMar>
            <w:top w:w="15" w:type="dxa"/>
            <w:left w:w="15" w:type="dxa"/>
            <w:bottom w:w="15" w:type="dxa"/>
            <w:right w:w="15" w:type="dxa"/>
          </w:tblCellMar>
        </w:tblPrEx>
        <w:trPr>
          <w:trHeight w:val="580" w:hRule="atLeast"/>
        </w:trPr>
        <w:tc>
          <w:tcPr>
            <w:tcW w:w="161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C0E5116">
            <w:pPr>
              <w:adjustRightInd w:val="0"/>
              <w:snapToGrid w:val="0"/>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拟定</w:t>
            </w:r>
            <w:r>
              <w:rPr>
                <w:rFonts w:hint="eastAsia" w:ascii="仿宋_GB2312" w:hAnsi="仿宋_GB2312" w:eastAsia="仿宋_GB2312" w:cs="仿宋_GB2312"/>
                <w:sz w:val="28"/>
                <w:szCs w:val="28"/>
              </w:rPr>
              <w:t>时间</w:t>
            </w:r>
          </w:p>
        </w:tc>
        <w:tc>
          <w:tcPr>
            <w:tcW w:w="144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D5A8EED">
            <w:pPr>
              <w:adjustRightInd w:val="0"/>
              <w:snapToGrid w:val="0"/>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内容</w:t>
            </w:r>
          </w:p>
        </w:tc>
        <w:tc>
          <w:tcPr>
            <w:tcW w:w="19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FE74632">
            <w:pPr>
              <w:adjustRightInd w:val="0"/>
              <w:snapToGrid w:val="0"/>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组织形式</w:t>
            </w:r>
          </w:p>
        </w:tc>
      </w:tr>
      <w:tr w14:paraId="6F177C09">
        <w:tblPrEx>
          <w:tblCellMar>
            <w:top w:w="15" w:type="dxa"/>
            <w:left w:w="15" w:type="dxa"/>
            <w:bottom w:w="15" w:type="dxa"/>
            <w:right w:w="15" w:type="dxa"/>
          </w:tblCellMar>
        </w:tblPrEx>
        <w:trPr>
          <w:trHeight w:val="573" w:hRule="atLeast"/>
        </w:trPr>
        <w:tc>
          <w:tcPr>
            <w:tcW w:w="161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7806CCF">
            <w:pPr>
              <w:adjustRightInd w:val="0"/>
              <w:snapToGrid w:val="0"/>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2026年</w:t>
            </w:r>
            <w:r>
              <w:rPr>
                <w:rFonts w:hint="eastAsia" w:ascii="仿宋_GB2312" w:hAnsi="仿宋_GB2312" w:eastAsia="仿宋_GB2312" w:cs="仿宋_GB2312"/>
                <w:sz w:val="28"/>
                <w:szCs w:val="28"/>
                <w:lang w:val="en-US" w:eastAsia="zh-CN"/>
              </w:rPr>
              <w:t>9</w:t>
            </w:r>
            <w:r>
              <w:rPr>
                <w:rFonts w:hint="eastAsia" w:ascii="仿宋_GB2312" w:hAnsi="仿宋_GB2312" w:eastAsia="仿宋_GB2312" w:cs="仿宋_GB2312"/>
                <w:sz w:val="28"/>
                <w:szCs w:val="28"/>
              </w:rPr>
              <w:t>月</w:t>
            </w:r>
          </w:p>
        </w:tc>
        <w:tc>
          <w:tcPr>
            <w:tcW w:w="144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255CE05">
            <w:pPr>
              <w:adjustRightInd w:val="0"/>
              <w:snapToGrid w:val="0"/>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校内赛</w:t>
            </w:r>
          </w:p>
        </w:tc>
        <w:tc>
          <w:tcPr>
            <w:tcW w:w="19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8A28C70">
            <w:pPr>
              <w:adjustRightInd w:val="0"/>
              <w:snapToGrid w:val="0"/>
              <w:spacing w:line="5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院校自行组织</w:t>
            </w:r>
          </w:p>
        </w:tc>
      </w:tr>
      <w:tr w14:paraId="29E5667F">
        <w:tblPrEx>
          <w:tblCellMar>
            <w:top w:w="15" w:type="dxa"/>
            <w:left w:w="15" w:type="dxa"/>
            <w:bottom w:w="15" w:type="dxa"/>
            <w:right w:w="15" w:type="dxa"/>
          </w:tblCellMar>
        </w:tblPrEx>
        <w:trPr>
          <w:trHeight w:val="573" w:hRule="atLeast"/>
        </w:trPr>
        <w:tc>
          <w:tcPr>
            <w:tcW w:w="1618"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8DC3029">
            <w:pPr>
              <w:adjustRightInd w:val="0"/>
              <w:snapToGrid w:val="0"/>
              <w:spacing w:line="560" w:lineRule="exact"/>
              <w:jc w:val="center"/>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2026年1</w:t>
            </w:r>
            <w:r>
              <w:rPr>
                <w:rFonts w:hint="eastAsia" w:ascii="仿宋_GB2312" w:hAnsi="仿宋_GB2312" w:eastAsia="仿宋_GB2312" w:cs="仿宋_GB2312"/>
                <w:sz w:val="28"/>
                <w:szCs w:val="28"/>
                <w:highlight w:val="none"/>
                <w:lang w:val="en-US" w:eastAsia="zh-CN"/>
              </w:rPr>
              <w:t>0</w:t>
            </w:r>
            <w:r>
              <w:rPr>
                <w:rFonts w:hint="eastAsia" w:ascii="仿宋_GB2312" w:hAnsi="仿宋_GB2312" w:eastAsia="仿宋_GB2312" w:cs="仿宋_GB2312"/>
                <w:sz w:val="28"/>
                <w:szCs w:val="28"/>
                <w:highlight w:val="none"/>
              </w:rPr>
              <w:t>月</w:t>
            </w:r>
            <w:r>
              <w:rPr>
                <w:rFonts w:hint="eastAsia" w:ascii="仿宋_GB2312" w:hAnsi="仿宋_GB2312" w:eastAsia="仿宋_GB2312" w:cs="仿宋_GB2312"/>
                <w:sz w:val="28"/>
                <w:szCs w:val="28"/>
                <w:highlight w:val="none"/>
                <w:lang w:val="en-US" w:eastAsia="zh-CN"/>
              </w:rPr>
              <w:t>中</w:t>
            </w:r>
            <w:r>
              <w:rPr>
                <w:rFonts w:hint="eastAsia" w:ascii="仿宋_GB2312" w:hAnsi="仿宋_GB2312" w:eastAsia="仿宋_GB2312" w:cs="仿宋_GB2312"/>
                <w:sz w:val="28"/>
                <w:szCs w:val="28"/>
                <w:highlight w:val="none"/>
              </w:rPr>
              <w:t>旬</w:t>
            </w:r>
          </w:p>
        </w:tc>
        <w:tc>
          <w:tcPr>
            <w:tcW w:w="1445"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52B0E46">
            <w:pPr>
              <w:adjustRightInd w:val="0"/>
              <w:snapToGrid w:val="0"/>
              <w:spacing w:line="560" w:lineRule="exact"/>
              <w:jc w:val="center"/>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28"/>
                <w:szCs w:val="28"/>
                <w:highlight w:val="none"/>
              </w:rPr>
              <w:t>省级总决赛</w:t>
            </w:r>
          </w:p>
        </w:tc>
        <w:tc>
          <w:tcPr>
            <w:tcW w:w="1936" w:type="pc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68E6D1">
            <w:pPr>
              <w:adjustRightInd w:val="0"/>
              <w:snapToGrid w:val="0"/>
              <w:spacing w:line="560" w:lineRule="exact"/>
              <w:jc w:val="center"/>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各赛道晋级队伍参与</w:t>
            </w:r>
          </w:p>
        </w:tc>
      </w:tr>
      <w:tr w14:paraId="24599C5C">
        <w:tblPrEx>
          <w:tblCellMar>
            <w:top w:w="15" w:type="dxa"/>
            <w:left w:w="15" w:type="dxa"/>
            <w:bottom w:w="15" w:type="dxa"/>
            <w:right w:w="15" w:type="dxa"/>
          </w:tblCellMar>
        </w:tblPrEx>
        <w:trPr>
          <w:trHeight w:val="573" w:hRule="atLeast"/>
        </w:trPr>
        <w:tc>
          <w:tcPr>
            <w:tcW w:w="5000" w:type="pct"/>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9CE420B">
            <w:pPr>
              <w:adjustRightInd w:val="0"/>
              <w:snapToGrid w:val="0"/>
              <w:spacing w:line="560" w:lineRule="exact"/>
              <w:jc w:val="both"/>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highlight w:val="none"/>
                <w:lang w:val="en-US" w:eastAsia="zh-CN"/>
              </w:rPr>
              <w:t>注：后续赛事各赛道具体比赛时间、形式等相关事宜，将由组委会另行公示，请各参赛单位及人员留意官方发布，最终以赛事组委会正式通知为准。</w:t>
            </w:r>
          </w:p>
        </w:tc>
      </w:tr>
    </w:tbl>
    <w:p w14:paraId="6BDF61B1">
      <w:pPr>
        <w:pStyle w:val="5"/>
        <w:widowControl/>
        <w:shd w:val="clear" w:color="auto" w:fill="FFFFFF"/>
        <w:adjustRightInd w:val="0"/>
        <w:snapToGrid w:val="0"/>
        <w:spacing w:beforeAutospacing="0" w:afterAutospacing="0" w:line="560" w:lineRule="exact"/>
        <w:ind w:firstLine="643" w:firstLineChars="200"/>
        <w:outlineLvl w:val="1"/>
        <w:rPr>
          <w:rFonts w:hint="eastAsia" w:ascii="仿宋" w:hAnsi="仿宋" w:eastAsia="仿宋" w:cs="仿宋"/>
          <w:b/>
          <w:bCs/>
          <w:sz w:val="32"/>
          <w:szCs w:val="32"/>
          <w:shd w:val="clear" w:color="auto" w:fill="FFFFFF"/>
        </w:rPr>
      </w:pPr>
      <w:r>
        <w:rPr>
          <w:rFonts w:ascii="仿宋" w:hAnsi="仿宋" w:eastAsia="仿宋" w:cs="仿宋"/>
          <w:b/>
          <w:bCs/>
          <w:sz w:val="32"/>
          <w:szCs w:val="32"/>
          <w:shd w:val="clear" w:color="auto" w:fill="FFFFFF"/>
        </w:rPr>
        <w:t>（三）成绩公布</w:t>
      </w:r>
    </w:p>
    <w:p w14:paraId="5B73025D">
      <w:pPr>
        <w:shd w:val="clear" w:color="auto" w:fill="FFFFFF"/>
        <w:adjustRightInd w:val="0"/>
        <w:snapToGrid w:val="0"/>
        <w:spacing w:line="560" w:lineRule="exact"/>
        <w:ind w:firstLine="640" w:firstLineChars="200"/>
        <w:rPr>
          <w:rFonts w:hint="eastAsia" w:ascii="仿宋" w:hAnsi="仿宋" w:eastAsia="仿宋" w:cs="仿宋"/>
          <w:b/>
          <w:bCs/>
          <w:sz w:val="32"/>
          <w:szCs w:val="32"/>
          <w:shd w:val="clear" w:color="auto" w:fill="FFFFFF"/>
        </w:rPr>
      </w:pPr>
      <w:r>
        <w:rPr>
          <w:rFonts w:hint="eastAsia" w:ascii="仿宋_GB2312" w:hAnsi="仿宋_GB2312" w:eastAsia="仿宋_GB2312" w:cs="仿宋_GB2312"/>
          <w:sz w:val="32"/>
          <w:szCs w:val="32"/>
        </w:rPr>
        <w:t>为保障成绩评判的准确性，将对各赛项成绩排名前30%的所有参赛队伍（选手）的成绩进行复核，对其余成绩进行抽签复核，抽检覆盖率不得低于30%，若发现成绩错误以书面形式及时告知裁判长，由裁判长更正成绩签字确定。复核、抽检错误率高于5%的，裁判组将对所有成绩进行复核。记分员将复核的最终成绩经裁判长、监督仲裁组签字后，在大赛官方平台、承办单位官网进行为期一周的公示，若各参赛队伍对竞赛成绩无异议，大赛组委会将此次竞赛成绩报送至安徽省教育厅。</w:t>
      </w:r>
    </w:p>
    <w:p w14:paraId="6C6C2E06">
      <w:pPr>
        <w:ind w:firstLine="643" w:firstLineChars="200"/>
        <w:rPr>
          <w:rFonts w:hint="eastAsia" w:ascii="仿宋" w:hAnsi="仿宋" w:eastAsia="仿宋" w:cs="仿宋"/>
          <w:b/>
          <w:bCs/>
          <w:kern w:val="0"/>
          <w:sz w:val="32"/>
          <w:szCs w:val="32"/>
          <w:highlight w:val="none"/>
          <w:shd w:val="clear" w:color="auto" w:fill="FFFFFF"/>
        </w:rPr>
      </w:pPr>
      <w:r>
        <w:rPr>
          <w:rFonts w:hint="eastAsia" w:ascii="仿宋" w:hAnsi="仿宋" w:eastAsia="仿宋" w:cs="仿宋"/>
          <w:b/>
          <w:bCs/>
          <w:kern w:val="0"/>
          <w:sz w:val="32"/>
          <w:szCs w:val="32"/>
          <w:highlight w:val="none"/>
          <w:shd w:val="clear" w:color="auto" w:fill="FFFFFF"/>
        </w:rPr>
        <w:t>（四）</w:t>
      </w:r>
      <w:r>
        <w:rPr>
          <w:rFonts w:ascii="仿宋" w:hAnsi="仿宋" w:eastAsia="仿宋" w:cs="仿宋"/>
          <w:b/>
          <w:bCs/>
          <w:kern w:val="0"/>
          <w:sz w:val="32"/>
          <w:szCs w:val="32"/>
          <w:highlight w:val="none"/>
          <w:shd w:val="clear" w:color="auto" w:fill="FFFFFF"/>
        </w:rPr>
        <w:t>赛前准备</w:t>
      </w:r>
    </w:p>
    <w:p w14:paraId="3B23E8CF">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cs="仿宋_GB2312"/>
          <w:sz w:val="32"/>
          <w:szCs w:val="32"/>
        </w:rPr>
        <w:t>1）</w:t>
      </w:r>
      <w:r>
        <w:rPr>
          <w:rFonts w:ascii="仿宋_GB2312" w:hAnsi="仿宋_GB2312" w:eastAsia="仿宋_GB2312" w:cs="仿宋_GB2312"/>
          <w:sz w:val="32"/>
          <w:szCs w:val="32"/>
        </w:rPr>
        <w:t>团队组建：各</w:t>
      </w:r>
      <w:r>
        <w:rPr>
          <w:rFonts w:hint="eastAsia" w:ascii="仿宋_GB2312" w:hAnsi="仿宋_GB2312" w:eastAsia="仿宋_GB2312" w:cs="仿宋_GB2312"/>
          <w:sz w:val="32"/>
          <w:szCs w:val="32"/>
          <w:lang w:val="en-US" w:eastAsia="zh-CN"/>
        </w:rPr>
        <w:t>赛道</w:t>
      </w:r>
      <w:r>
        <w:rPr>
          <w:rFonts w:ascii="仿宋_GB2312" w:hAnsi="仿宋_GB2312" w:eastAsia="仿宋_GB2312" w:cs="仿宋_GB2312"/>
          <w:sz w:val="32"/>
          <w:szCs w:val="32"/>
        </w:rPr>
        <w:t>参赛队完成组队，明确岗位分工，确定指导教师，并在报名截止前提交参赛信息，一经确认不得随意变更。</w:t>
      </w:r>
    </w:p>
    <w:p w14:paraId="6D0DC61C">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cs="仿宋_GB2312"/>
          <w:sz w:val="32"/>
          <w:szCs w:val="32"/>
        </w:rPr>
        <w:t>2）</w:t>
      </w:r>
      <w:r>
        <w:rPr>
          <w:rFonts w:ascii="仿宋_GB2312" w:hAnsi="仿宋_GB2312" w:eastAsia="仿宋_GB2312" w:cs="仿宋_GB2312"/>
          <w:sz w:val="32"/>
          <w:szCs w:val="32"/>
        </w:rPr>
        <w:t>规则学习：各参赛队须认真研读竞赛规程、评分标准及操作细则，熟悉比赛流程、时间安排及成绩评定规则。</w:t>
      </w:r>
    </w:p>
    <w:p w14:paraId="7480ACF2">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cs="仿宋_GB2312"/>
          <w:sz w:val="32"/>
          <w:szCs w:val="32"/>
        </w:rPr>
        <w:t>3）</w:t>
      </w:r>
      <w:r>
        <w:rPr>
          <w:rFonts w:ascii="仿宋_GB2312" w:hAnsi="仿宋_GB2312" w:eastAsia="仿宋_GB2312" w:cs="仿宋_GB2312"/>
          <w:sz w:val="32"/>
          <w:szCs w:val="32"/>
        </w:rPr>
        <w:t>平台熟悉：参赛队应提前登录竞赛平台，熟悉系统界面、操作流程及数据填报要求，确保掌握基本操作功能。</w:t>
      </w:r>
    </w:p>
    <w:p w14:paraId="0B96808C">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cs="仿宋_GB2312"/>
          <w:sz w:val="32"/>
          <w:szCs w:val="32"/>
        </w:rPr>
        <w:t>4）</w:t>
      </w:r>
      <w:r>
        <w:rPr>
          <w:rFonts w:ascii="仿宋_GB2312" w:hAnsi="仿宋_GB2312" w:eastAsia="仿宋_GB2312" w:cs="仿宋_GB2312"/>
          <w:sz w:val="32"/>
          <w:szCs w:val="32"/>
        </w:rPr>
        <w:t>设备调试：参赛院校需提前检查比赛所用电脑、网络及相关软件环境，确保设备稳定、网络畅通，并按要求做好录屏准备。</w:t>
      </w:r>
    </w:p>
    <w:p w14:paraId="55F41194">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cs="仿宋_GB2312"/>
          <w:sz w:val="32"/>
          <w:szCs w:val="32"/>
        </w:rPr>
        <w:t>5）</w:t>
      </w:r>
      <w:r>
        <w:rPr>
          <w:rFonts w:ascii="仿宋_GB2312" w:hAnsi="仿宋_GB2312" w:eastAsia="仿宋_GB2312" w:cs="仿宋_GB2312"/>
          <w:sz w:val="32"/>
          <w:szCs w:val="32"/>
        </w:rPr>
        <w:t>模拟演练：各参赛队应在校内赛及省赛前，利用模拟数据或练习平台完成不少于2次全流程模拟经营，演练经营策略、报表填报及时间控制。</w:t>
      </w:r>
    </w:p>
    <w:p w14:paraId="1FCF53EB">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（6）</w:t>
      </w:r>
      <w:r>
        <w:rPr>
          <w:rFonts w:ascii="仿宋_GB2312" w:hAnsi="仿宋_GB2312" w:eastAsia="仿宋_GB2312" w:cs="仿宋_GB2312"/>
          <w:sz w:val="32"/>
          <w:szCs w:val="32"/>
        </w:rPr>
        <w:t>保险与安全：参赛院校须为参赛选手购买人身意外伤害保险，并开展赛前安全教育，确保比赛期间人身与财产安全。</w:t>
      </w:r>
    </w:p>
    <w:p w14:paraId="268E2F7B">
      <w:pPr>
        <w:numPr>
          <w:ilvl w:val="0"/>
          <w:numId w:val="1"/>
        </w:numPr>
        <w:shd w:val="clear" w:color="auto" w:fill="FFFFFF"/>
        <w:adjustRightInd w:val="0"/>
        <w:snapToGrid w:val="0"/>
        <w:spacing w:line="560" w:lineRule="exact"/>
        <w:ind w:firstLine="960" w:firstLineChars="300"/>
        <w:outlineLvl w:val="0"/>
        <w:rPr>
          <w:rFonts w:hint="eastAsia" w:ascii="黑体" w:hAnsi="黑体" w:eastAsia="黑体" w:cs="黑体"/>
          <w:kern w:val="0"/>
          <w:sz w:val="32"/>
          <w:szCs w:val="32"/>
          <w:highlight w:val="none"/>
          <w:shd w:val="clear" w:color="auto" w:fill="FFFFFF"/>
          <w:lang w:bidi="ar"/>
        </w:rPr>
      </w:pPr>
      <w:r>
        <w:rPr>
          <w:rFonts w:ascii="黑体" w:hAnsi="黑体" w:eastAsia="黑体" w:cs="黑体"/>
          <w:kern w:val="0"/>
          <w:sz w:val="32"/>
          <w:szCs w:val="32"/>
          <w:highlight w:val="none"/>
          <w:shd w:val="clear" w:color="auto" w:fill="FFFFFF"/>
          <w:lang w:bidi="ar"/>
        </w:rPr>
        <w:t>成绩评定</w:t>
      </w:r>
    </w:p>
    <w:p w14:paraId="71A97EC4">
      <w:pPr>
        <w:numPr>
          <w:ilvl w:val="255"/>
          <w:numId w:val="0"/>
        </w:numPr>
        <w:shd w:val="clear" w:color="auto" w:fill="FFFFFF"/>
        <w:adjustRightInd w:val="0"/>
        <w:snapToGrid w:val="0"/>
        <w:spacing w:line="560" w:lineRule="exact"/>
        <w:ind w:firstLine="643" w:firstLineChars="200"/>
        <w:outlineLvl w:val="1"/>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1.ERP企业经营模拟赛道</w:t>
      </w:r>
    </w:p>
    <w:p w14:paraId="0C3DF661">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（1）评分标准制定原则</w:t>
      </w:r>
    </w:p>
    <w:p w14:paraId="652687FC">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本赛项根据企业经营管理相关技术技能、高等教育教学特点和教育部颁布的相关教学指导方案，设置每个环节考核的知识点、技能点以及评价标准，以技能考核为主，组织专家制定比赛规程、实施方案与各项评分细则，邀请教学专家与企业专家组成评判委员会，对选手技能进行公开、公平、公正的评判。</w:t>
      </w:r>
    </w:p>
    <w:p w14:paraId="2D7DF127">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cs="仿宋_GB2312"/>
          <w:sz w:val="32"/>
          <w:szCs w:val="32"/>
        </w:rPr>
        <w:t>A</w:t>
      </w:r>
      <w:r>
        <w:rPr>
          <w:rFonts w:hint="eastAsia" w:ascii="仿宋_GB2312" w:hAnsi="仿宋_GB2312" w:eastAsia="仿宋_GB2312" w:cs="仿宋_GB2312"/>
          <w:sz w:val="32"/>
          <w:szCs w:val="32"/>
        </w:rPr>
        <w:t>.本赛项评分标准制定遵循“公平、公正、公开”的原则。</w:t>
      </w:r>
    </w:p>
    <w:p w14:paraId="5A12EA2D">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cs="仿宋_GB2312"/>
          <w:sz w:val="32"/>
          <w:szCs w:val="32"/>
        </w:rPr>
        <w:t>B</w:t>
      </w:r>
      <w:r>
        <w:rPr>
          <w:rFonts w:hint="eastAsia" w:ascii="仿宋_GB2312" w:hAnsi="仿宋_GB2312" w:eastAsia="仿宋_GB2312" w:cs="仿宋_GB2312"/>
          <w:sz w:val="32"/>
          <w:szCs w:val="32"/>
        </w:rPr>
        <w:t>.应用信息化系统自动评分，无人为因素干扰。</w:t>
      </w:r>
    </w:p>
    <w:p w14:paraId="011F45AD">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cs="仿宋_GB2312"/>
          <w:sz w:val="32"/>
          <w:szCs w:val="32"/>
        </w:rPr>
        <w:t>C</w:t>
      </w:r>
      <w:r>
        <w:rPr>
          <w:rFonts w:hint="eastAsia" w:ascii="仿宋_GB2312" w:hAnsi="仿宋_GB2312" w:eastAsia="仿宋_GB2312" w:cs="仿宋_GB2312"/>
          <w:sz w:val="32"/>
          <w:szCs w:val="32"/>
        </w:rPr>
        <w:t>.比赛成绩实时公布。</w:t>
      </w:r>
    </w:p>
    <w:p w14:paraId="313AADED">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（2）评分方法</w:t>
      </w:r>
    </w:p>
    <w:p w14:paraId="350092EC">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竞赛评分方法采用由比赛软件系统自动生成的分数，按该得分高低进行排序，分数高者为优胜。系统生成分数以模拟数字化企业盈利情况和企业的可持续发展能力作为评分标准。</w:t>
      </w:r>
    </w:p>
    <w:p w14:paraId="1759D41B">
      <w:pPr>
        <w:keepNext w:val="0"/>
        <w:keepLines w:val="0"/>
        <w:pageBreakBefore w:val="0"/>
        <w:widowControl w:val="0"/>
        <w:numPr>
          <w:ilvl w:val="0"/>
          <w:numId w:val="0"/>
        </w:numPr>
        <w:shd w:val="clear" w:color="auto" w:fill="FFFFFF"/>
        <w:kinsoku/>
        <w:wordWrap/>
        <w:overflowPunct/>
        <w:topLinePunct w:val="0"/>
        <w:autoSpaceDE/>
        <w:autoSpaceDN/>
        <w:bidi w:val="0"/>
        <w:adjustRightInd w:val="0"/>
        <w:snapToGrid w:val="0"/>
        <w:spacing w:line="560" w:lineRule="exact"/>
        <w:ind w:firstLine="640" w:firstLineChars="200"/>
        <w:textAlignment w:val="auto"/>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评分规则</w:t>
      </w:r>
    </w:p>
    <w:p w14:paraId="259D6BCD">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企业模拟经营过程需要持续经营4年，从经营风尚、管理工具应用、数字化平台建设、持续经营和经营成果五个方面进行综合评判，以全面考察学生企业经营管理核心技能和规则意识、创新意识、数字思维、系统思维等职业素养。具体评分细则如表所示。</w:t>
      </w:r>
    </w:p>
    <w:p w14:paraId="3DC04167">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cs="Microsoft YaHei UI"/>
          <w:color w:val="000000"/>
        </w:rPr>
      </w:pPr>
      <w:bookmarkStart w:id="1" w:name="page8"/>
      <w:bookmarkEnd w:id="1"/>
      <w:r>
        <w:rPr>
          <w:rFonts w:hint="eastAsia" w:ascii="仿宋_GB2312" w:eastAsia="仿宋_GB2312" w:cs="仿宋_GB2312"/>
          <w:color w:val="000000"/>
          <w:sz w:val="32"/>
          <w:szCs w:val="32"/>
          <w:shd w:val="clear" w:color="auto" w:fill="FFFFFF"/>
          <w:lang w:bidi="ar"/>
        </w:rPr>
        <w:t>根据各参赛队企业模拟运营情况，以</w:t>
      </w:r>
      <w:r>
        <w:rPr>
          <w:rFonts w:hint="eastAsia" w:ascii="仿宋_GB2312" w:eastAsia="仿宋_GB2312" w:cs="仿宋_GB2312"/>
          <w:b/>
          <w:bCs/>
          <w:color w:val="000000"/>
          <w:sz w:val="32"/>
          <w:szCs w:val="32"/>
          <w:shd w:val="clear" w:color="auto" w:fill="FFFFFF"/>
          <w:lang w:bidi="ar"/>
        </w:rPr>
        <w:t>第四年提交报表后</w:t>
      </w:r>
      <w:r>
        <w:rPr>
          <w:rFonts w:hint="eastAsia" w:ascii="仿宋_GB2312" w:eastAsia="仿宋_GB2312" w:cs="仿宋_GB2312"/>
          <w:color w:val="000000"/>
          <w:sz w:val="32"/>
          <w:szCs w:val="32"/>
          <w:shd w:val="clear" w:color="auto" w:fill="FFFFFF"/>
          <w:lang w:bidi="ar"/>
        </w:rPr>
        <w:t>的企业盈利及可持续发展能力作为评判标准。</w:t>
      </w:r>
    </w:p>
    <w:tbl>
      <w:tblPr>
        <w:tblStyle w:val="7"/>
        <w:tblW w:w="9358" w:type="dxa"/>
        <w:jc w:val="center"/>
        <w:tblLayout w:type="autofit"/>
        <w:tblCellMar>
          <w:top w:w="0" w:type="dxa"/>
          <w:left w:w="0" w:type="dxa"/>
          <w:bottom w:w="0" w:type="dxa"/>
          <w:right w:w="0" w:type="dxa"/>
        </w:tblCellMar>
      </w:tblPr>
      <w:tblGrid>
        <w:gridCol w:w="1554"/>
        <w:gridCol w:w="1300"/>
        <w:gridCol w:w="3380"/>
        <w:gridCol w:w="1527"/>
        <w:gridCol w:w="1597"/>
      </w:tblGrid>
      <w:tr w14:paraId="6E2BB1EC">
        <w:tblPrEx>
          <w:tblCellMar>
            <w:top w:w="0" w:type="dxa"/>
            <w:left w:w="0" w:type="dxa"/>
            <w:bottom w:w="0" w:type="dxa"/>
            <w:right w:w="0" w:type="dxa"/>
          </w:tblCellMar>
        </w:tblPrEx>
        <w:trPr>
          <w:trHeight w:val="571" w:hRule="atLeast"/>
          <w:jc w:val="center"/>
        </w:trPr>
        <w:tc>
          <w:tcPr>
            <w:tcW w:w="1554"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3D8057EB">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分值项</w:t>
            </w:r>
          </w:p>
        </w:tc>
        <w:tc>
          <w:tcPr>
            <w:tcW w:w="130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20ABBA9A">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分值</w:t>
            </w:r>
          </w:p>
        </w:tc>
        <w:tc>
          <w:tcPr>
            <w:tcW w:w="3380"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669F151D">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评分方法</w:t>
            </w:r>
          </w:p>
        </w:tc>
        <w:tc>
          <w:tcPr>
            <w:tcW w:w="152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4605BA3A">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审核方法</w:t>
            </w:r>
          </w:p>
        </w:tc>
        <w:tc>
          <w:tcPr>
            <w:tcW w:w="1597" w:type="dxa"/>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3B68A31D">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公布方法</w:t>
            </w:r>
          </w:p>
        </w:tc>
      </w:tr>
      <w:tr w14:paraId="513C52BD">
        <w:tblPrEx>
          <w:tblCellMar>
            <w:top w:w="0" w:type="dxa"/>
            <w:left w:w="0" w:type="dxa"/>
            <w:bottom w:w="0" w:type="dxa"/>
            <w:right w:w="0" w:type="dxa"/>
          </w:tblCellMar>
        </w:tblPrEx>
        <w:trPr>
          <w:trHeight w:val="2245" w:hRule="atLeast"/>
          <w:jc w:val="center"/>
        </w:trPr>
        <w:tc>
          <w:tcPr>
            <w:tcW w:w="1554"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6D8A7184">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经营结果得分</w:t>
            </w:r>
          </w:p>
        </w:tc>
        <w:tc>
          <w:tcPr>
            <w:tcW w:w="1300" w:type="dxa"/>
            <w:tcBorders>
              <w:top w:val="nil"/>
              <w:left w:val="nil"/>
              <w:bottom w:val="single" w:color="auto" w:sz="8" w:space="0"/>
              <w:right w:val="single" w:color="auto" w:sz="8" w:space="0"/>
            </w:tcBorders>
            <w:tcMar>
              <w:top w:w="0" w:type="dxa"/>
              <w:left w:w="108" w:type="dxa"/>
              <w:bottom w:w="0" w:type="dxa"/>
              <w:right w:w="108" w:type="dxa"/>
            </w:tcMar>
            <w:vAlign w:val="center"/>
          </w:tcPr>
          <w:p w14:paraId="397EACAA">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100分</w:t>
            </w:r>
          </w:p>
        </w:tc>
        <w:tc>
          <w:tcPr>
            <w:tcW w:w="3380" w:type="dxa"/>
            <w:tcBorders>
              <w:top w:val="nil"/>
              <w:left w:val="nil"/>
              <w:bottom w:val="single" w:color="auto" w:sz="8" w:space="0"/>
              <w:right w:val="single" w:color="auto" w:sz="8" w:space="0"/>
            </w:tcBorders>
            <w:tcMar>
              <w:top w:w="0" w:type="dxa"/>
              <w:left w:w="108" w:type="dxa"/>
              <w:bottom w:w="0" w:type="dxa"/>
              <w:right w:w="108" w:type="dxa"/>
            </w:tcMar>
            <w:vAlign w:val="center"/>
          </w:tcPr>
          <w:p w14:paraId="313E4269">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以第四年的系统【分数】排名顺序确定评分（依次递减3分）</w:t>
            </w:r>
          </w:p>
        </w:tc>
        <w:tc>
          <w:tcPr>
            <w:tcW w:w="1527" w:type="dxa"/>
            <w:tcBorders>
              <w:top w:val="nil"/>
              <w:left w:val="nil"/>
              <w:bottom w:val="single" w:color="auto" w:sz="8" w:space="0"/>
              <w:right w:val="single" w:color="auto" w:sz="8" w:space="0"/>
            </w:tcBorders>
            <w:tcMar>
              <w:top w:w="0" w:type="dxa"/>
              <w:left w:w="108" w:type="dxa"/>
              <w:bottom w:w="0" w:type="dxa"/>
              <w:right w:w="108" w:type="dxa"/>
            </w:tcMar>
            <w:vAlign w:val="center"/>
          </w:tcPr>
          <w:p w14:paraId="3AA390E1">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裁判审核</w:t>
            </w:r>
          </w:p>
        </w:tc>
        <w:tc>
          <w:tcPr>
            <w:tcW w:w="1597" w:type="dxa"/>
            <w:tcBorders>
              <w:top w:val="nil"/>
              <w:left w:val="nil"/>
              <w:bottom w:val="single" w:color="auto" w:sz="8" w:space="0"/>
              <w:right w:val="single" w:color="auto" w:sz="8" w:space="0"/>
            </w:tcBorders>
            <w:tcMar>
              <w:top w:w="0" w:type="dxa"/>
              <w:left w:w="108" w:type="dxa"/>
              <w:bottom w:w="0" w:type="dxa"/>
              <w:right w:w="108" w:type="dxa"/>
            </w:tcMar>
            <w:vAlign w:val="center"/>
          </w:tcPr>
          <w:p w14:paraId="23706F34">
            <w:pPr>
              <w:adjustRightInd w:val="0"/>
              <w:snapToGrid w:val="0"/>
              <w:spacing w:line="560" w:lineRule="exact"/>
              <w:jc w:val="center"/>
              <w:rPr>
                <w:rFonts w:hint="eastAsia" w:ascii="宋体" w:hAnsi="宋体" w:eastAsia="宋体" w:cs="宋体"/>
                <w:sz w:val="28"/>
                <w:szCs w:val="28"/>
              </w:rPr>
            </w:pPr>
            <w:r>
              <w:rPr>
                <w:rFonts w:hint="eastAsia" w:ascii="宋体" w:hAnsi="宋体" w:eastAsia="宋体" w:cs="宋体"/>
                <w:sz w:val="28"/>
                <w:szCs w:val="28"/>
              </w:rPr>
              <w:t>选手确认</w:t>
            </w:r>
          </w:p>
        </w:tc>
      </w:tr>
    </w:tbl>
    <w:p w14:paraId="6CEB02DD">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textAlignment w:val="auto"/>
        <w:rPr>
          <w:rFonts w:hint="eastAsia" w:ascii="仿宋_GB2312" w:hAnsi="仿宋_GB2312" w:eastAsia="仿宋_GB2312" w:cs="仿宋_GB2312"/>
          <w:sz w:val="32"/>
          <w:szCs w:val="32"/>
        </w:rPr>
      </w:pPr>
    </w:p>
    <w:p w14:paraId="7854F8CF">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特别说明：</w:t>
      </w:r>
    </w:p>
    <w:p w14:paraId="5F68822E">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cs="仿宋_GB2312"/>
          <w:sz w:val="32"/>
          <w:szCs w:val="32"/>
        </w:rPr>
        <w:t>A</w:t>
      </w:r>
      <w:r>
        <w:rPr>
          <w:rFonts w:hint="eastAsia" w:ascii="仿宋_GB2312" w:hAnsi="仿宋_GB2312" w:eastAsia="仿宋_GB2312" w:cs="仿宋_GB2312"/>
          <w:sz w:val="32"/>
          <w:szCs w:val="32"/>
        </w:rPr>
        <w:t>.系统【分数】最终得分公式：</w:t>
      </w:r>
    </w:p>
    <w:p w14:paraId="02AABF41">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最终得分：Z=第四年企业商誉值×（第四年企业权益-系统扣分+数字化得分）*（1+第三年碳中和率+第四年碳中和率）</w:t>
      </w:r>
    </w:p>
    <w:p w14:paraId="4CF83A74">
      <w:pPr>
        <w:numPr>
          <w:ilvl w:val="255"/>
          <w:numId w:val="0"/>
        </w:numPr>
        <w:ind w:firstLine="640" w:firstLineChars="200"/>
        <w:rPr>
          <w:rFonts w:hint="eastAsia" w:ascii="仿宋_GB2312" w:eastAsia="仿宋_GB2312" w:cs="仿宋_GB2312"/>
          <w:color w:val="000000"/>
          <w:spacing w:val="20"/>
          <w:sz w:val="32"/>
          <w:szCs w:val="32"/>
          <w:shd w:val="clear" w:color="auto" w:fill="FFFFFF"/>
          <w:lang w:bidi="ar"/>
        </w:rPr>
      </w:pPr>
      <w:r>
        <w:rPr>
          <w:rFonts w:hint="eastAsia" w:ascii="仿宋_GB2312" w:hAnsi="仿宋_GB2312" w:cs="仿宋_GB2312"/>
          <w:sz w:val="32"/>
          <w:szCs w:val="32"/>
        </w:rPr>
        <w:t>B</w:t>
      </w:r>
      <w:r>
        <w:rPr>
          <w:rFonts w:hint="eastAsia" w:ascii="仿宋_GB2312" w:hAnsi="仿宋_GB2312" w:eastAsia="仿宋_GB2312" w:cs="仿宋_GB2312"/>
          <w:sz w:val="32"/>
          <w:szCs w:val="32"/>
        </w:rPr>
        <w:t>.碳中和率保留4位小数，四舍五入。</w:t>
      </w:r>
    </w:p>
    <w:p w14:paraId="3A849C88">
      <w:pPr>
        <w:pStyle w:val="5"/>
        <w:keepNext w:val="0"/>
        <w:keepLines w:val="0"/>
        <w:pageBreakBefore w:val="0"/>
        <w:widowControl w:val="0"/>
        <w:shd w:val="clear" w:color="auto" w:fill="FFFFFF"/>
        <w:kinsoku/>
        <w:wordWrap/>
        <w:overflowPunct/>
        <w:topLinePunct w:val="0"/>
        <w:autoSpaceDE/>
        <w:autoSpaceDN/>
        <w:bidi w:val="0"/>
        <w:adjustRightInd w:val="0"/>
        <w:snapToGrid w:val="0"/>
        <w:spacing w:beforeAutospacing="0" w:afterAutospacing="0" w:line="560" w:lineRule="exact"/>
        <w:ind w:firstLine="720" w:firstLineChars="200"/>
        <w:jc w:val="center"/>
        <w:textAlignment w:val="auto"/>
        <w:rPr>
          <w:rFonts w:cs="Microsoft YaHei UI"/>
          <w:color w:val="000000"/>
        </w:rPr>
      </w:pPr>
      <w:r>
        <w:rPr>
          <w:rFonts w:hint="eastAsia" w:ascii="仿宋_GB2312" w:eastAsia="仿宋_GB2312" w:cs="仿宋_GB2312"/>
          <w:color w:val="000000"/>
          <w:spacing w:val="20"/>
          <w:sz w:val="32"/>
          <w:szCs w:val="32"/>
          <w:shd w:val="clear" w:color="auto" w:fill="FFFFFF"/>
          <w:lang w:bidi="ar"/>
        </w:rPr>
        <w:t>第</w:t>
      </w:r>
      <w:r>
        <w:rPr>
          <w:rFonts w:hint="eastAsia" w:ascii="仿宋_GB2312" w:eastAsia="仿宋_GB2312" w:cs="仿宋_GB2312"/>
          <w:color w:val="000000"/>
          <w:spacing w:val="20"/>
          <w:sz w:val="32"/>
          <w:szCs w:val="32"/>
          <w:shd w:val="clear" w:color="auto" w:fill="FFFFFF"/>
          <w:lang w:val="en-US" w:eastAsia="zh-CN" w:bidi="ar"/>
        </w:rPr>
        <w:t>四</w:t>
      </w:r>
      <w:r>
        <w:rPr>
          <w:rFonts w:hint="eastAsia" w:ascii="仿宋_GB2312" w:eastAsia="仿宋_GB2312" w:cs="仿宋_GB2312"/>
          <w:color w:val="000000"/>
          <w:spacing w:val="20"/>
          <w:sz w:val="32"/>
          <w:szCs w:val="32"/>
          <w:shd w:val="clear" w:color="auto" w:fill="FFFFFF"/>
          <w:lang w:bidi="ar"/>
        </w:rPr>
        <w:t>年</w:t>
      </w:r>
      <w:r>
        <w:rPr>
          <w:rFonts w:hint="eastAsia" w:ascii="仿宋_GB2312" w:eastAsia="仿宋_GB2312" w:cs="仿宋_GB2312"/>
          <w:color w:val="000000"/>
          <w:spacing w:val="20"/>
          <w:sz w:val="32"/>
          <w:szCs w:val="32"/>
          <w:shd w:val="clear" w:color="auto" w:fill="FFFFFF"/>
          <w:lang w:val="en-US" w:eastAsia="zh-CN" w:bidi="ar"/>
        </w:rPr>
        <w:t>提交报表后</w:t>
      </w:r>
      <w:r>
        <w:rPr>
          <w:rFonts w:hint="eastAsia" w:ascii="仿宋_GB2312" w:eastAsia="仿宋_GB2312" w:cs="仿宋_GB2312"/>
          <w:color w:val="000000"/>
          <w:spacing w:val="20"/>
          <w:sz w:val="32"/>
          <w:szCs w:val="32"/>
          <w:shd w:val="clear" w:color="auto" w:fill="FFFFFF"/>
          <w:lang w:bidi="ar"/>
        </w:rPr>
        <w:t>分数排名评分标准</w:t>
      </w:r>
    </w:p>
    <w:tbl>
      <w:tblPr>
        <w:tblStyle w:val="7"/>
        <w:tblW w:w="8519" w:type="dxa"/>
        <w:jc w:val="center"/>
        <w:tblBorders>
          <w:top w:val="none" w:color="auto" w:sz="0" w:space="0"/>
          <w:left w:val="none" w:color="auto" w:sz="0" w:space="0"/>
          <w:bottom w:val="none" w:color="auto" w:sz="0" w:space="0"/>
          <w:right w:val="none" w:color="auto" w:sz="0" w:space="0"/>
          <w:insideH w:val="none" w:color="auto" w:sz="6" w:space="0"/>
          <w:insideV w:val="none" w:color="auto" w:sz="6" w:space="0"/>
        </w:tblBorders>
        <w:shd w:val="clear" w:color="auto" w:fill="FFFFFF"/>
        <w:tblLayout w:type="autofit"/>
        <w:tblCellMar>
          <w:top w:w="0" w:type="dxa"/>
          <w:left w:w="0" w:type="dxa"/>
          <w:bottom w:w="0" w:type="dxa"/>
          <w:right w:w="0" w:type="dxa"/>
        </w:tblCellMar>
      </w:tblPr>
      <w:tblGrid>
        <w:gridCol w:w="2694"/>
        <w:gridCol w:w="1565"/>
        <w:gridCol w:w="2695"/>
        <w:gridCol w:w="1565"/>
      </w:tblGrid>
      <w:tr w14:paraId="6930285D">
        <w:tblPrEx>
          <w:tblBorders>
            <w:top w:val="none" w:color="auto" w:sz="0" w:space="0"/>
            <w:left w:val="none" w:color="auto" w:sz="0" w:space="0"/>
            <w:bottom w:val="none" w:color="auto" w:sz="0" w:space="0"/>
            <w:right w:val="none" w:color="auto" w:sz="0" w:space="0"/>
            <w:insideH w:val="none" w:color="auto" w:sz="6" w:space="0"/>
            <w:insideV w:val="none" w:color="auto" w:sz="6" w:space="0"/>
          </w:tblBorders>
          <w:shd w:val="clear" w:color="auto" w:fill="FFFFFF"/>
          <w:tblCellMar>
            <w:top w:w="0" w:type="dxa"/>
            <w:left w:w="0" w:type="dxa"/>
            <w:bottom w:w="0" w:type="dxa"/>
            <w:right w:w="0" w:type="dxa"/>
          </w:tblCellMar>
        </w:tblPrEx>
        <w:trPr>
          <w:trHeight w:val="0" w:hRule="atLeast"/>
          <w:tblHeader/>
          <w:jc w:val="center"/>
        </w:trPr>
        <w:tc>
          <w:tcPr>
            <w:tcW w:w="0" w:type="auto"/>
            <w:tcBorders>
              <w:top w:val="single" w:color="auto" w:sz="4" w:space="0"/>
              <w:left w:val="single" w:color="auto" w:sz="4" w:space="0"/>
              <w:bottom w:val="single" w:color="auto" w:sz="4" w:space="0"/>
              <w:right w:val="single" w:color="auto" w:sz="4" w:space="0"/>
            </w:tcBorders>
            <w:shd w:val="clear" w:color="auto" w:fill="EEECE1"/>
            <w:noWrap w:val="0"/>
            <w:tcMar>
              <w:top w:w="-1" w:type="dxa"/>
              <w:left w:w="108" w:type="dxa"/>
              <w:bottom w:w="-1" w:type="dxa"/>
              <w:right w:w="108" w:type="dxa"/>
            </w:tcMar>
            <w:vAlign w:val="center"/>
          </w:tcPr>
          <w:p w14:paraId="6EF599CC">
            <w:pPr>
              <w:adjustRightInd w:val="0"/>
              <w:snapToGrid w:val="0"/>
              <w:spacing w:line="240" w:lineRule="auto"/>
              <w:ind w:left="0" w:leftChars="0" w:right="0" w:rightChars="0" w:firstLine="0" w:firstLineChars="0"/>
              <w:jc w:val="center"/>
              <w:rPr>
                <w:rFonts w:ascii="仿宋_GB2312" w:eastAsia="仿宋_GB2312" w:cs="Microsoft YaHei UI"/>
                <w:b/>
                <w:sz w:val="28"/>
                <w:szCs w:val="28"/>
              </w:rPr>
            </w:pPr>
            <w:r>
              <w:rPr>
                <w:rFonts w:hint="eastAsia" w:ascii="仿宋_GB2312" w:eastAsia="仿宋_GB2312" w:cs="仿宋_GB2312"/>
                <w:b/>
                <w:color w:val="333333"/>
                <w:sz w:val="28"/>
                <w:szCs w:val="28"/>
                <w:lang w:bidi="ar"/>
              </w:rPr>
              <w:t>分数排名</w:t>
            </w:r>
          </w:p>
        </w:tc>
        <w:tc>
          <w:tcPr>
            <w:tcW w:w="0" w:type="auto"/>
            <w:tcBorders>
              <w:top w:val="single" w:color="auto" w:sz="4" w:space="0"/>
              <w:left w:val="single" w:color="auto" w:sz="4" w:space="0"/>
              <w:bottom w:val="single" w:color="auto" w:sz="4" w:space="0"/>
              <w:right w:val="single" w:color="auto" w:sz="4" w:space="0"/>
            </w:tcBorders>
            <w:shd w:val="clear" w:color="auto" w:fill="EEECE1"/>
            <w:noWrap w:val="0"/>
            <w:tcMar>
              <w:top w:w="-1" w:type="dxa"/>
              <w:left w:w="108" w:type="dxa"/>
              <w:bottom w:w="-1" w:type="dxa"/>
              <w:right w:w="108" w:type="dxa"/>
            </w:tcMar>
            <w:vAlign w:val="center"/>
          </w:tcPr>
          <w:p w14:paraId="3F13107F">
            <w:pPr>
              <w:adjustRightInd w:val="0"/>
              <w:snapToGrid w:val="0"/>
              <w:spacing w:line="240" w:lineRule="auto"/>
              <w:ind w:left="0" w:leftChars="0" w:right="0" w:rightChars="0" w:firstLine="0" w:firstLineChars="0"/>
              <w:jc w:val="center"/>
              <w:rPr>
                <w:rFonts w:ascii="仿宋_GB2312" w:eastAsia="仿宋_GB2312" w:cs="Microsoft YaHei UI"/>
                <w:b/>
                <w:sz w:val="28"/>
                <w:szCs w:val="28"/>
              </w:rPr>
            </w:pPr>
            <w:r>
              <w:rPr>
                <w:rFonts w:hint="eastAsia" w:ascii="仿宋_GB2312" w:eastAsia="仿宋_GB2312" w:cs="仿宋_GB2312"/>
                <w:b/>
                <w:color w:val="333333"/>
                <w:sz w:val="28"/>
                <w:szCs w:val="28"/>
                <w:lang w:bidi="ar"/>
              </w:rPr>
              <w:t>得分</w:t>
            </w:r>
          </w:p>
        </w:tc>
        <w:tc>
          <w:tcPr>
            <w:tcW w:w="0" w:type="auto"/>
            <w:tcBorders>
              <w:top w:val="single" w:color="auto" w:sz="4" w:space="0"/>
              <w:left w:val="single" w:color="auto" w:sz="4" w:space="0"/>
              <w:bottom w:val="single" w:color="auto" w:sz="4" w:space="0"/>
              <w:right w:val="single" w:color="auto" w:sz="4" w:space="0"/>
            </w:tcBorders>
            <w:shd w:val="clear" w:color="auto" w:fill="EEECE1"/>
            <w:noWrap w:val="0"/>
            <w:tcMar>
              <w:top w:w="-1" w:type="dxa"/>
              <w:left w:w="108" w:type="dxa"/>
              <w:bottom w:w="-1" w:type="dxa"/>
              <w:right w:w="108" w:type="dxa"/>
            </w:tcMar>
            <w:vAlign w:val="center"/>
          </w:tcPr>
          <w:p w14:paraId="463AEF35">
            <w:pPr>
              <w:adjustRightInd w:val="0"/>
              <w:snapToGrid w:val="0"/>
              <w:spacing w:line="240" w:lineRule="auto"/>
              <w:ind w:left="0" w:leftChars="0" w:right="0" w:rightChars="0" w:firstLine="0" w:firstLineChars="0"/>
              <w:jc w:val="center"/>
              <w:rPr>
                <w:rFonts w:ascii="仿宋_GB2312" w:eastAsia="仿宋_GB2312" w:cs="仿宋_GB2312"/>
                <w:b/>
                <w:color w:val="333333"/>
                <w:sz w:val="28"/>
                <w:szCs w:val="28"/>
                <w:lang w:bidi="ar"/>
              </w:rPr>
            </w:pPr>
            <w:r>
              <w:rPr>
                <w:rFonts w:hint="eastAsia" w:ascii="仿宋_GB2312" w:eastAsia="仿宋_GB2312" w:cs="仿宋_GB2312"/>
                <w:b/>
                <w:color w:val="333333"/>
                <w:sz w:val="28"/>
                <w:szCs w:val="28"/>
                <w:lang w:bidi="ar"/>
              </w:rPr>
              <w:t>分数排名</w:t>
            </w:r>
          </w:p>
        </w:tc>
        <w:tc>
          <w:tcPr>
            <w:tcW w:w="1565" w:type="dxa"/>
            <w:tcBorders>
              <w:top w:val="single" w:color="auto" w:sz="4" w:space="0"/>
              <w:left w:val="single" w:color="auto" w:sz="4" w:space="0"/>
              <w:bottom w:val="single" w:color="auto" w:sz="4" w:space="0"/>
              <w:right w:val="single" w:color="auto" w:sz="4" w:space="0"/>
            </w:tcBorders>
            <w:shd w:val="clear" w:color="auto" w:fill="EEECE1"/>
            <w:noWrap w:val="0"/>
            <w:tcMar>
              <w:top w:w="-1" w:type="dxa"/>
              <w:left w:w="108" w:type="dxa"/>
              <w:bottom w:w="-1" w:type="dxa"/>
              <w:right w:w="108" w:type="dxa"/>
            </w:tcMar>
            <w:vAlign w:val="center"/>
          </w:tcPr>
          <w:p w14:paraId="12882AC1">
            <w:pPr>
              <w:adjustRightInd w:val="0"/>
              <w:snapToGrid w:val="0"/>
              <w:spacing w:line="240" w:lineRule="auto"/>
              <w:ind w:left="0" w:leftChars="0" w:right="0" w:rightChars="0" w:firstLine="0" w:firstLineChars="0"/>
              <w:jc w:val="center"/>
              <w:rPr>
                <w:rFonts w:ascii="仿宋_GB2312" w:eastAsia="仿宋_GB2312" w:cs="仿宋_GB2312"/>
                <w:b/>
                <w:color w:val="333333"/>
                <w:sz w:val="28"/>
                <w:szCs w:val="28"/>
                <w:lang w:bidi="ar"/>
              </w:rPr>
            </w:pPr>
            <w:r>
              <w:rPr>
                <w:rFonts w:hint="eastAsia" w:ascii="仿宋_GB2312" w:eastAsia="仿宋_GB2312" w:cs="仿宋_GB2312"/>
                <w:b/>
                <w:color w:val="333333"/>
                <w:sz w:val="28"/>
                <w:szCs w:val="28"/>
                <w:lang w:bidi="ar"/>
              </w:rPr>
              <w:t>得分</w:t>
            </w:r>
          </w:p>
        </w:tc>
      </w:tr>
      <w:tr w14:paraId="63D18AF1">
        <w:tblPrEx>
          <w:tblBorders>
            <w:top w:val="none" w:color="auto" w:sz="0" w:space="0"/>
            <w:left w:val="none" w:color="auto" w:sz="0" w:space="0"/>
            <w:bottom w:val="none" w:color="auto" w:sz="0" w:space="0"/>
            <w:right w:val="none" w:color="auto" w:sz="0" w:space="0"/>
            <w:insideH w:val="none" w:color="auto" w:sz="6" w:space="0"/>
            <w:insideV w:val="none" w:color="auto" w:sz="6" w:space="0"/>
          </w:tblBorders>
          <w:shd w:val="clear" w:color="auto" w:fill="FFFFFF"/>
          <w:tblCellMar>
            <w:top w:w="0" w:type="dxa"/>
            <w:left w:w="0" w:type="dxa"/>
            <w:bottom w:w="0" w:type="dxa"/>
            <w:right w:w="0"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7186E21C">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4F0F345B">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55A50E6B">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11</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1A36D1E0">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70</w:t>
            </w:r>
          </w:p>
        </w:tc>
      </w:tr>
      <w:tr w14:paraId="04236E22">
        <w:tblPrEx>
          <w:tblBorders>
            <w:top w:val="none" w:color="auto" w:sz="0" w:space="0"/>
            <w:left w:val="none" w:color="auto" w:sz="0" w:space="0"/>
            <w:bottom w:val="none" w:color="auto" w:sz="0" w:space="0"/>
            <w:right w:val="none" w:color="auto" w:sz="0" w:space="0"/>
            <w:insideH w:val="none" w:color="auto" w:sz="6" w:space="0"/>
            <w:insideV w:val="none" w:color="auto" w:sz="6" w:space="0"/>
          </w:tblBorders>
          <w:shd w:val="clear" w:color="auto" w:fill="FFFFFF"/>
          <w:tblCellMar>
            <w:top w:w="0" w:type="dxa"/>
            <w:left w:w="0" w:type="dxa"/>
            <w:bottom w:w="0" w:type="dxa"/>
            <w:right w:w="0"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204BDB80">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5DCBB45">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97</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7548AB1">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12</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2D2DEC1">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67</w:t>
            </w:r>
          </w:p>
        </w:tc>
      </w:tr>
      <w:tr w14:paraId="37ADAD11">
        <w:tblPrEx>
          <w:tblBorders>
            <w:top w:val="none" w:color="auto" w:sz="0" w:space="0"/>
            <w:left w:val="none" w:color="auto" w:sz="0" w:space="0"/>
            <w:bottom w:val="none" w:color="auto" w:sz="0" w:space="0"/>
            <w:right w:val="none" w:color="auto" w:sz="0" w:space="0"/>
            <w:insideH w:val="none" w:color="auto" w:sz="6" w:space="0"/>
            <w:insideV w:val="none" w:color="auto" w:sz="6" w:space="0"/>
          </w:tblBorders>
          <w:tblCellMar>
            <w:top w:w="0" w:type="dxa"/>
            <w:left w:w="0" w:type="dxa"/>
            <w:bottom w:w="0" w:type="dxa"/>
            <w:right w:w="0"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4316A732">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3</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F298214">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94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34D0D805">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13</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58FDBC6A">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64</w:t>
            </w:r>
          </w:p>
        </w:tc>
      </w:tr>
      <w:tr w14:paraId="0FE68D1F">
        <w:tblPrEx>
          <w:tblBorders>
            <w:top w:val="none" w:color="auto" w:sz="0" w:space="0"/>
            <w:left w:val="none" w:color="auto" w:sz="0" w:space="0"/>
            <w:bottom w:val="none" w:color="auto" w:sz="0" w:space="0"/>
            <w:right w:val="none" w:color="auto" w:sz="0" w:space="0"/>
            <w:insideH w:val="none" w:color="auto" w:sz="6" w:space="0"/>
            <w:insideV w:val="none" w:color="auto" w:sz="6" w:space="0"/>
          </w:tblBorders>
          <w:tblCellMar>
            <w:top w:w="0" w:type="dxa"/>
            <w:left w:w="0" w:type="dxa"/>
            <w:bottom w:w="0" w:type="dxa"/>
            <w:right w:w="0"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56377FFD">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4</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42E57C2">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91</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A1849FE">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14</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4FF26AE5">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61</w:t>
            </w:r>
          </w:p>
        </w:tc>
      </w:tr>
      <w:tr w14:paraId="29D1D097">
        <w:tblPrEx>
          <w:tblBorders>
            <w:top w:val="none" w:color="auto" w:sz="0" w:space="0"/>
            <w:left w:val="none" w:color="auto" w:sz="0" w:space="0"/>
            <w:bottom w:val="none" w:color="auto" w:sz="0" w:space="0"/>
            <w:right w:val="none" w:color="auto" w:sz="0" w:space="0"/>
            <w:insideH w:val="none" w:color="auto" w:sz="6" w:space="0"/>
            <w:insideV w:val="none" w:color="auto" w:sz="6" w:space="0"/>
          </w:tblBorders>
          <w:shd w:val="clear" w:color="auto" w:fill="FFFFFF"/>
          <w:tblCellMar>
            <w:top w:w="0" w:type="dxa"/>
            <w:left w:w="0" w:type="dxa"/>
            <w:bottom w:w="0" w:type="dxa"/>
            <w:right w:w="0"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1DFFF30">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5AD659CD">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88</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3FFD8854">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15</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1F720428">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58</w:t>
            </w:r>
          </w:p>
        </w:tc>
      </w:tr>
      <w:tr w14:paraId="294F9563">
        <w:tblPrEx>
          <w:tblBorders>
            <w:top w:val="none" w:color="auto" w:sz="0" w:space="0"/>
            <w:left w:val="none" w:color="auto" w:sz="0" w:space="0"/>
            <w:bottom w:val="none" w:color="auto" w:sz="0" w:space="0"/>
            <w:right w:val="none" w:color="auto" w:sz="0" w:space="0"/>
            <w:insideH w:val="none" w:color="auto" w:sz="6" w:space="0"/>
            <w:insideV w:val="none" w:color="auto" w:sz="6" w:space="0"/>
          </w:tblBorders>
          <w:tblCellMar>
            <w:top w:w="0" w:type="dxa"/>
            <w:left w:w="0" w:type="dxa"/>
            <w:bottom w:w="0" w:type="dxa"/>
            <w:right w:w="0"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574A535">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6</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110FE922">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85</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2F9A0DEF">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16</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659E1EA0">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55</w:t>
            </w:r>
          </w:p>
        </w:tc>
      </w:tr>
      <w:tr w14:paraId="4764DCD0">
        <w:tblPrEx>
          <w:tblBorders>
            <w:top w:val="none" w:color="auto" w:sz="0" w:space="0"/>
            <w:left w:val="none" w:color="auto" w:sz="0" w:space="0"/>
            <w:bottom w:val="none" w:color="auto" w:sz="0" w:space="0"/>
            <w:right w:val="none" w:color="auto" w:sz="0" w:space="0"/>
            <w:insideH w:val="none" w:color="auto" w:sz="6" w:space="0"/>
            <w:insideV w:val="none" w:color="auto" w:sz="6" w:space="0"/>
          </w:tblBorders>
          <w:tblCellMar>
            <w:top w:w="0" w:type="dxa"/>
            <w:left w:w="0" w:type="dxa"/>
            <w:bottom w:w="0" w:type="dxa"/>
            <w:right w:w="0"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415BEB2F">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7</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1F9EBB52">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82</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F6229F5">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17</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21A3B7E4">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52</w:t>
            </w:r>
          </w:p>
        </w:tc>
      </w:tr>
      <w:tr w14:paraId="4B1B366F">
        <w:tblPrEx>
          <w:tblBorders>
            <w:top w:val="none" w:color="auto" w:sz="0" w:space="0"/>
            <w:left w:val="none" w:color="auto" w:sz="0" w:space="0"/>
            <w:bottom w:val="none" w:color="auto" w:sz="0" w:space="0"/>
            <w:right w:val="none" w:color="auto" w:sz="0" w:space="0"/>
            <w:insideH w:val="none" w:color="auto" w:sz="6" w:space="0"/>
            <w:insideV w:val="none" w:color="auto" w:sz="6" w:space="0"/>
          </w:tblBorders>
          <w:shd w:val="clear" w:color="auto" w:fill="FFFFFF"/>
          <w:tblCellMar>
            <w:top w:w="0" w:type="dxa"/>
            <w:left w:w="0" w:type="dxa"/>
            <w:bottom w:w="0" w:type="dxa"/>
            <w:right w:w="0"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AC2579F">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8</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17F5939E">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79</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303AC6A7">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18</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2B0F2641">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49</w:t>
            </w:r>
          </w:p>
        </w:tc>
      </w:tr>
      <w:tr w14:paraId="0AD26181">
        <w:tblPrEx>
          <w:tblBorders>
            <w:top w:val="none" w:color="auto" w:sz="0" w:space="0"/>
            <w:left w:val="none" w:color="auto" w:sz="0" w:space="0"/>
            <w:bottom w:val="none" w:color="auto" w:sz="0" w:space="0"/>
            <w:right w:val="none" w:color="auto" w:sz="0" w:space="0"/>
            <w:insideH w:val="none" w:color="auto" w:sz="6" w:space="0"/>
            <w:insideV w:val="none" w:color="auto" w:sz="6" w:space="0"/>
          </w:tblBorders>
          <w:shd w:val="clear" w:color="auto" w:fill="FFFFFF"/>
          <w:tblCellMar>
            <w:top w:w="0" w:type="dxa"/>
            <w:left w:w="0" w:type="dxa"/>
            <w:bottom w:w="0" w:type="dxa"/>
            <w:right w:w="0" w:type="dxa"/>
          </w:tblCellMar>
        </w:tblPrEx>
        <w:trPr>
          <w:trHeight w:val="0" w:hRule="atLeast"/>
          <w:jc w:val="center"/>
        </w:trPr>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3CF48E12">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9</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4671FFA6">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76</w:t>
            </w:r>
          </w:p>
        </w:tc>
        <w:tc>
          <w:tcPr>
            <w:tcW w:w="0" w:type="auto"/>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734D5573">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19</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2634CE22">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46</w:t>
            </w:r>
          </w:p>
        </w:tc>
      </w:tr>
      <w:tr w14:paraId="3ABD60C4">
        <w:tblPrEx>
          <w:tblBorders>
            <w:top w:val="none" w:color="auto" w:sz="0" w:space="0"/>
            <w:left w:val="none" w:color="auto" w:sz="0" w:space="0"/>
            <w:bottom w:val="none" w:color="auto" w:sz="0" w:space="0"/>
            <w:right w:val="none" w:color="auto" w:sz="0" w:space="0"/>
            <w:insideH w:val="none" w:color="auto" w:sz="6" w:space="0"/>
            <w:insideV w:val="none" w:color="auto" w:sz="6" w:space="0"/>
          </w:tblBorders>
          <w:shd w:val="clear" w:color="auto" w:fill="FFFFFF"/>
          <w:tblCellMar>
            <w:top w:w="0" w:type="dxa"/>
            <w:left w:w="0" w:type="dxa"/>
            <w:bottom w:w="0" w:type="dxa"/>
            <w:right w:w="0" w:type="dxa"/>
          </w:tblCellMar>
        </w:tblPrEx>
        <w:trPr>
          <w:trHeight w:val="0" w:hRule="atLeast"/>
          <w:jc w:val="center"/>
        </w:trPr>
        <w:tc>
          <w:tcPr>
            <w:tcW w:w="2694"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05598750">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10</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3F85367C">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73</w:t>
            </w:r>
          </w:p>
        </w:tc>
        <w:tc>
          <w:tcPr>
            <w:tcW w:w="269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6BFB9995">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20</w:t>
            </w:r>
          </w:p>
        </w:tc>
        <w:tc>
          <w:tcPr>
            <w:tcW w:w="1565" w:type="dxa"/>
            <w:tcBorders>
              <w:top w:val="single" w:color="auto" w:sz="4" w:space="0"/>
              <w:left w:val="single" w:color="auto" w:sz="4" w:space="0"/>
              <w:bottom w:val="single" w:color="auto" w:sz="4" w:space="0"/>
              <w:right w:val="single" w:color="auto" w:sz="4" w:space="0"/>
            </w:tcBorders>
            <w:shd w:val="clear" w:color="auto" w:fill="FFFFFF"/>
            <w:noWrap w:val="0"/>
            <w:tcMar>
              <w:top w:w="-1" w:type="dxa"/>
              <w:left w:w="108" w:type="dxa"/>
              <w:bottom w:w="-1" w:type="dxa"/>
              <w:right w:w="108" w:type="dxa"/>
            </w:tcMar>
            <w:vAlign w:val="center"/>
          </w:tcPr>
          <w:p w14:paraId="3D73C2EC">
            <w:pPr>
              <w:adjustRightInd w:val="0"/>
              <w:snapToGrid w:val="0"/>
              <w:spacing w:line="240" w:lineRule="auto"/>
              <w:ind w:left="0" w:leftChars="0" w:right="0" w:rightChars="0" w:firstLine="0" w:firstLineChars="0"/>
              <w:jc w:val="center"/>
              <w:rPr>
                <w:rFonts w:ascii="仿宋_GB2312" w:eastAsia="仿宋_GB2312" w:cs="Microsoft YaHei UI"/>
                <w:sz w:val="28"/>
                <w:szCs w:val="28"/>
              </w:rPr>
            </w:pPr>
            <w:r>
              <w:rPr>
                <w:rFonts w:hint="eastAsia" w:ascii="仿宋_GB2312" w:eastAsia="仿宋_GB2312" w:cs="仿宋_GB2312"/>
                <w:color w:val="333333"/>
                <w:sz w:val="28"/>
                <w:szCs w:val="28"/>
                <w:lang w:bidi="ar"/>
              </w:rPr>
              <w:t>43</w:t>
            </w:r>
          </w:p>
        </w:tc>
      </w:tr>
    </w:tbl>
    <w:p w14:paraId="43A1E8DD">
      <w:pPr>
        <w:widowControl/>
        <w:adjustRightInd w:val="0"/>
        <w:snapToGrid w:val="0"/>
        <w:spacing w:line="560" w:lineRule="exact"/>
        <w:ind w:firstLine="964" w:firstLineChars="300"/>
        <w:jc w:val="left"/>
        <w:rPr>
          <w:rFonts w:ascii="仿宋_GB2312" w:hAnsi="Microsoft YaHei UI" w:eastAsia="仿宋_GB2312" w:cs="仿宋_GB2312"/>
          <w:color w:val="000000"/>
          <w:kern w:val="0"/>
          <w:sz w:val="32"/>
          <w:szCs w:val="32"/>
          <w:shd w:val="clear" w:color="auto" w:fill="FFFFFF"/>
          <w:lang w:bidi="ar"/>
        </w:rPr>
      </w:pPr>
      <w:r>
        <w:rPr>
          <w:rFonts w:hint="eastAsia" w:ascii="仿宋_GB2312" w:hAnsi="仿宋_GB2312" w:eastAsia="仿宋_GB2312" w:cs="仿宋_GB2312"/>
          <w:b/>
          <w:bCs/>
          <w:sz w:val="32"/>
          <w:szCs w:val="32"/>
        </w:rPr>
        <w:t>2.大数据分析应用与决策赛道</w:t>
      </w:r>
    </w:p>
    <w:p w14:paraId="1304237E">
      <w:pPr>
        <w:widowControl/>
        <w:shd w:val="clear" w:color="auto" w:fill="FFFFFF"/>
        <w:adjustRightInd w:val="0"/>
        <w:snapToGrid w:val="0"/>
        <w:spacing w:line="560" w:lineRule="exact"/>
        <w:ind w:firstLine="964"/>
        <w:jc w:val="left"/>
        <w:rPr>
          <w:rFonts w:ascii="仿宋_GB2312" w:hAnsi="Microsoft YaHei UI" w:eastAsia="仿宋_GB2312" w:cs="仿宋_GB2312"/>
          <w:color w:val="000000"/>
          <w:kern w:val="0"/>
          <w:sz w:val="32"/>
          <w:szCs w:val="32"/>
          <w:shd w:val="clear" w:color="auto" w:fill="FFFFFF"/>
          <w:lang w:val="zh-CN" w:bidi="ar"/>
        </w:rPr>
      </w:pPr>
      <w:r>
        <w:rPr>
          <w:rFonts w:hint="eastAsia" w:ascii="仿宋_GB2312" w:hAnsi="Microsoft YaHei UI" w:eastAsia="仿宋_GB2312" w:cs="仿宋_GB2312"/>
          <w:color w:val="000000"/>
          <w:kern w:val="0"/>
          <w:sz w:val="32"/>
          <w:szCs w:val="32"/>
          <w:shd w:val="clear" w:color="auto" w:fill="FFFFFF"/>
          <w:lang w:val="zh-CN" w:bidi="ar"/>
        </w:rPr>
        <w:t>评分方式：成绩（团队）=（队员1成绩+…+队员</w:t>
      </w:r>
      <w:r>
        <w:rPr>
          <w:rFonts w:hint="eastAsia" w:ascii="仿宋_GB2312" w:hAnsi="Microsoft YaHei UI" w:eastAsia="仿宋_GB2312" w:cs="仿宋_GB2312"/>
          <w:color w:val="000000"/>
          <w:kern w:val="0"/>
          <w:sz w:val="32"/>
          <w:szCs w:val="32"/>
          <w:shd w:val="clear" w:color="auto" w:fill="FFFFFF"/>
          <w:lang w:bidi="ar"/>
        </w:rPr>
        <w:t>4</w:t>
      </w:r>
      <w:r>
        <w:rPr>
          <w:rFonts w:hint="eastAsia" w:ascii="仿宋_GB2312" w:hAnsi="Microsoft YaHei UI" w:eastAsia="仿宋_GB2312" w:cs="仿宋_GB2312"/>
          <w:color w:val="000000"/>
          <w:kern w:val="0"/>
          <w:sz w:val="32"/>
          <w:szCs w:val="32"/>
          <w:shd w:val="clear" w:color="auto" w:fill="FFFFFF"/>
          <w:lang w:val="zh-CN" w:bidi="ar"/>
        </w:rPr>
        <w:t>成绩）/</w:t>
      </w:r>
      <w:r>
        <w:rPr>
          <w:rFonts w:hint="eastAsia" w:ascii="仿宋_GB2312" w:hAnsi="Microsoft YaHei UI" w:eastAsia="仿宋_GB2312" w:cs="仿宋_GB2312"/>
          <w:color w:val="000000"/>
          <w:kern w:val="0"/>
          <w:sz w:val="32"/>
          <w:szCs w:val="32"/>
          <w:shd w:val="clear" w:color="auto" w:fill="FFFFFF"/>
          <w:lang w:bidi="ar"/>
        </w:rPr>
        <w:t>4</w:t>
      </w:r>
      <w:r>
        <w:rPr>
          <w:rFonts w:hint="eastAsia" w:ascii="仿宋_GB2312" w:hAnsi="Microsoft YaHei UI" w:eastAsia="仿宋_GB2312" w:cs="仿宋_GB2312"/>
          <w:color w:val="000000"/>
          <w:kern w:val="0"/>
          <w:sz w:val="32"/>
          <w:szCs w:val="32"/>
          <w:shd w:val="clear" w:color="auto" w:fill="FFFFFF"/>
          <w:lang w:val="zh-CN" w:bidi="ar"/>
        </w:rPr>
        <w:t>。</w:t>
      </w:r>
    </w:p>
    <w:p w14:paraId="4AE6062B">
      <w:pPr>
        <w:widowControl/>
        <w:shd w:val="clear" w:color="auto" w:fill="FFFFFF"/>
        <w:adjustRightInd w:val="0"/>
        <w:snapToGrid w:val="0"/>
        <w:spacing w:line="560" w:lineRule="exact"/>
        <w:ind w:firstLine="964"/>
        <w:jc w:val="left"/>
        <w:rPr>
          <w:rFonts w:ascii="仿宋_GB2312" w:hAnsi="Microsoft YaHei UI" w:eastAsia="仿宋_GB2312" w:cs="仿宋_GB2312"/>
          <w:color w:val="000000"/>
          <w:kern w:val="0"/>
          <w:sz w:val="32"/>
          <w:szCs w:val="32"/>
          <w:shd w:val="clear" w:color="auto" w:fill="FFFFFF"/>
          <w:lang w:val="zh-CN" w:bidi="ar"/>
        </w:rPr>
      </w:pPr>
      <w:r>
        <w:rPr>
          <w:rFonts w:hint="eastAsia" w:ascii="仿宋_GB2312" w:hAnsi="Microsoft YaHei UI" w:eastAsia="仿宋_GB2312" w:cs="仿宋_GB2312"/>
          <w:color w:val="000000"/>
          <w:kern w:val="0"/>
          <w:sz w:val="32"/>
          <w:szCs w:val="32"/>
          <w:shd w:val="clear" w:color="auto" w:fill="FFFFFF"/>
          <w:lang w:val="zh-CN" w:bidi="ar"/>
        </w:rPr>
        <w:t>竞赛排名根据总成绩从高分到低分排名（保留小数两位）确定名次。</w:t>
      </w:r>
    </w:p>
    <w:p w14:paraId="28178013">
      <w:pPr>
        <w:shd w:val="clear" w:color="auto" w:fill="FFFFFF"/>
        <w:adjustRightInd w:val="0"/>
        <w:snapToGrid w:val="0"/>
        <w:spacing w:line="560" w:lineRule="exact"/>
        <w:ind w:firstLine="643" w:firstLineChars="200"/>
        <w:rPr>
          <w:rFonts w:ascii="仿宋_GB2312" w:hAnsi="仿宋_GB2312" w:eastAsia="仿宋_GB2312" w:cs="仿宋_GB2312"/>
          <w:b/>
          <w:bCs/>
          <w:sz w:val="32"/>
          <w:szCs w:val="32"/>
          <w:lang w:bidi="ar"/>
        </w:rPr>
      </w:pPr>
      <w:r>
        <w:rPr>
          <w:rFonts w:hint="eastAsia" w:ascii="仿宋_GB2312" w:hAnsi="仿宋_GB2312" w:cs="仿宋_GB2312"/>
          <w:b/>
          <w:bCs/>
          <w:sz w:val="32"/>
          <w:szCs w:val="32"/>
          <w:lang w:bidi="ar"/>
        </w:rPr>
        <w:t>3.</w:t>
      </w:r>
      <w:r>
        <w:rPr>
          <w:rFonts w:hint="eastAsia" w:ascii="仿宋_GB2312" w:hAnsi="仿宋_GB2312" w:eastAsia="仿宋_GB2312" w:cs="仿宋_GB2312"/>
          <w:b/>
          <w:bCs/>
          <w:sz w:val="32"/>
          <w:szCs w:val="32"/>
          <w:lang w:eastAsia="zh-CN" w:bidi="ar"/>
        </w:rPr>
        <w:t>双碳模拟经营实战</w:t>
      </w:r>
      <w:r>
        <w:rPr>
          <w:rFonts w:hint="eastAsia" w:ascii="仿宋_GB2312" w:hAnsi="仿宋_GB2312" w:eastAsia="仿宋_GB2312" w:cs="仿宋_GB2312"/>
          <w:b/>
          <w:bCs/>
          <w:sz w:val="32"/>
          <w:szCs w:val="32"/>
          <w:lang w:bidi="ar"/>
        </w:rPr>
        <w:t>赛道</w:t>
      </w:r>
    </w:p>
    <w:p w14:paraId="5D235BD1">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评分由软件系统评分完成。分值分为企业权益得分、企业业务数据表单得分。两个分值对应权重比例得到总得分，具体公式如下。</w:t>
      </w:r>
    </w:p>
    <w:p w14:paraId="3406907E">
      <w:pPr>
        <w:shd w:val="clear" w:color="auto" w:fill="FFFFFF"/>
        <w:adjustRightInd w:val="0"/>
        <w:snapToGrid w:val="0"/>
        <w:spacing w:line="560" w:lineRule="exact"/>
        <w:ind w:firstLine="0"/>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竞赛评分方法</w:t>
      </w:r>
    </w:p>
    <w:tbl>
      <w:tblPr>
        <w:tblStyle w:val="29"/>
        <w:tblW w:w="8522" w:type="dxa"/>
        <w:jc w:val="center"/>
        <w:tblLayout w:type="autofit"/>
        <w:tblCellMar>
          <w:top w:w="0" w:type="dxa"/>
          <w:left w:w="115" w:type="dxa"/>
          <w:bottom w:w="0" w:type="dxa"/>
          <w:right w:w="115" w:type="dxa"/>
        </w:tblCellMar>
      </w:tblPr>
      <w:tblGrid>
        <w:gridCol w:w="3216"/>
        <w:gridCol w:w="1666"/>
        <w:gridCol w:w="1304"/>
        <w:gridCol w:w="1032"/>
        <w:gridCol w:w="1304"/>
      </w:tblGrid>
      <w:tr w14:paraId="240F1886">
        <w:tblPrEx>
          <w:tblCellMar>
            <w:top w:w="0" w:type="dxa"/>
            <w:left w:w="115" w:type="dxa"/>
            <w:bottom w:w="0" w:type="dxa"/>
            <w:right w:w="115" w:type="dxa"/>
          </w:tblCellMar>
        </w:tblPrEx>
        <w:trPr>
          <w:trHeight w:val="0" w:hRule="atLeast"/>
          <w:tblHeader/>
          <w:jc w:val="center"/>
        </w:trPr>
        <w:tc>
          <w:tcPr>
            <w:tcW w:w="3217"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DB89698">
            <w:pPr>
              <w:adjustRightInd w:val="0"/>
              <w:snapToGrid w:val="0"/>
              <w:spacing w:line="24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竞赛模块</w:t>
            </w:r>
          </w:p>
        </w:tc>
        <w:tc>
          <w:tcPr>
            <w:tcW w:w="1666"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765CBD9">
            <w:pPr>
              <w:adjustRightInd w:val="0"/>
              <w:snapToGrid w:val="0"/>
              <w:spacing w:line="24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时长</w:t>
            </w:r>
          </w:p>
        </w:tc>
        <w:tc>
          <w:tcPr>
            <w:tcW w:w="1304"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4B4400A1">
            <w:pPr>
              <w:adjustRightInd w:val="0"/>
              <w:snapToGrid w:val="0"/>
              <w:spacing w:line="24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分值</w:t>
            </w:r>
          </w:p>
        </w:tc>
        <w:tc>
          <w:tcPr>
            <w:tcW w:w="1032"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93E7769">
            <w:pPr>
              <w:adjustRightInd w:val="0"/>
              <w:snapToGrid w:val="0"/>
              <w:spacing w:line="24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权重</w:t>
            </w:r>
          </w:p>
        </w:tc>
        <w:tc>
          <w:tcPr>
            <w:tcW w:w="1304"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6FFB5EDB">
            <w:pPr>
              <w:adjustRightInd w:val="0"/>
              <w:snapToGrid w:val="0"/>
              <w:spacing w:line="240" w:lineRule="auto"/>
              <w:ind w:left="0" w:leftChars="0" w:right="0" w:rightChars="0" w:firstLine="0" w:firstLineChars="0"/>
              <w:jc w:val="center"/>
              <w:rPr>
                <w:rFonts w:hint="eastAsia" w:ascii="仿宋" w:hAnsi="仿宋" w:eastAsia="仿宋" w:cs="仿宋"/>
                <w:b/>
                <w:bCs/>
                <w:sz w:val="28"/>
                <w:szCs w:val="28"/>
              </w:rPr>
            </w:pPr>
            <w:r>
              <w:rPr>
                <w:rFonts w:hint="eastAsia" w:ascii="仿宋" w:hAnsi="仿宋" w:eastAsia="仿宋" w:cs="仿宋"/>
                <w:b/>
                <w:bCs/>
                <w:sz w:val="28"/>
                <w:szCs w:val="28"/>
              </w:rPr>
              <w:t>总分</w:t>
            </w:r>
          </w:p>
        </w:tc>
      </w:tr>
      <w:tr w14:paraId="5962FC39">
        <w:tblPrEx>
          <w:tblCellMar>
            <w:top w:w="0" w:type="dxa"/>
            <w:left w:w="115" w:type="dxa"/>
            <w:bottom w:w="0" w:type="dxa"/>
            <w:right w:w="115" w:type="dxa"/>
          </w:tblCellMar>
        </w:tblPrEx>
        <w:trPr>
          <w:trHeight w:val="0" w:hRule="atLeast"/>
          <w:jc w:val="center"/>
        </w:trPr>
        <w:tc>
          <w:tcPr>
            <w:tcW w:w="3217"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5B46AA91">
            <w:pPr>
              <w:adjustRightInd w:val="0"/>
              <w:snapToGrid w:val="0"/>
              <w:spacing w:line="240" w:lineRule="auto"/>
              <w:ind w:left="0" w:leftChars="0" w:right="0" w:rightChars="0" w:firstLine="0" w:firstLineChars="0"/>
              <w:jc w:val="center"/>
              <w:rPr>
                <w:rFonts w:hint="eastAsia" w:ascii="仿宋" w:hAnsi="仿宋" w:eastAsia="仿宋" w:cs="仿宋"/>
                <w:sz w:val="28"/>
                <w:szCs w:val="28"/>
              </w:rPr>
            </w:pPr>
            <w:r>
              <w:rPr>
                <w:rFonts w:hint="eastAsia" w:ascii="仿宋" w:hAnsi="仿宋" w:eastAsia="仿宋" w:cs="仿宋"/>
                <w:sz w:val="28"/>
                <w:szCs w:val="28"/>
              </w:rPr>
              <w:t>企业权益得分</w:t>
            </w:r>
          </w:p>
        </w:tc>
        <w:tc>
          <w:tcPr>
            <w:tcW w:w="1666" w:type="dxa"/>
            <w:vMerge w:val="restart"/>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41F234E9">
            <w:pPr>
              <w:adjustRightInd w:val="0"/>
              <w:snapToGrid w:val="0"/>
              <w:spacing w:line="240" w:lineRule="auto"/>
              <w:ind w:left="0" w:leftChars="0" w:right="0" w:rightChars="0" w:firstLine="0" w:firstLineChars="0"/>
              <w:jc w:val="center"/>
              <w:rPr>
                <w:rFonts w:hint="eastAsia" w:ascii="仿宋" w:hAnsi="仿宋" w:eastAsia="仿宋" w:cs="仿宋"/>
                <w:sz w:val="28"/>
                <w:szCs w:val="28"/>
              </w:rPr>
            </w:pPr>
            <w:r>
              <w:rPr>
                <w:rFonts w:hint="eastAsia" w:ascii="仿宋" w:hAnsi="仿宋" w:eastAsia="仿宋" w:cs="仿宋"/>
                <w:sz w:val="28"/>
                <w:szCs w:val="28"/>
              </w:rPr>
              <w:t>200分钟</w:t>
            </w:r>
          </w:p>
        </w:tc>
        <w:tc>
          <w:tcPr>
            <w:tcW w:w="1304"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7D7ABB58">
            <w:pPr>
              <w:adjustRightInd w:val="0"/>
              <w:snapToGrid w:val="0"/>
              <w:spacing w:line="240" w:lineRule="auto"/>
              <w:ind w:left="0" w:leftChars="0" w:right="0" w:rightChars="0" w:firstLine="0" w:firstLineChars="0"/>
              <w:jc w:val="center"/>
              <w:rPr>
                <w:rFonts w:hint="eastAsia" w:ascii="仿宋" w:hAnsi="仿宋" w:eastAsia="仿宋" w:cs="仿宋"/>
                <w:sz w:val="28"/>
                <w:szCs w:val="28"/>
              </w:rPr>
            </w:pPr>
            <w:r>
              <w:rPr>
                <w:rFonts w:hint="eastAsia" w:ascii="仿宋" w:hAnsi="仿宋" w:eastAsia="仿宋" w:cs="仿宋"/>
                <w:sz w:val="28"/>
                <w:szCs w:val="28"/>
              </w:rPr>
              <w:t>100分</w:t>
            </w:r>
          </w:p>
        </w:tc>
        <w:tc>
          <w:tcPr>
            <w:tcW w:w="1032"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559DC74D">
            <w:pPr>
              <w:adjustRightInd w:val="0"/>
              <w:snapToGrid w:val="0"/>
              <w:spacing w:line="240" w:lineRule="auto"/>
              <w:ind w:left="0" w:leftChars="0" w:right="0" w:rightChars="0" w:firstLine="0" w:firstLineChars="0"/>
              <w:jc w:val="right"/>
              <w:rPr>
                <w:rFonts w:hint="eastAsia" w:ascii="仿宋" w:hAnsi="仿宋" w:eastAsia="仿宋" w:cs="仿宋"/>
                <w:sz w:val="28"/>
                <w:szCs w:val="28"/>
              </w:rPr>
            </w:pPr>
            <w:r>
              <w:rPr>
                <w:rFonts w:hint="eastAsia" w:ascii="仿宋" w:hAnsi="仿宋" w:eastAsia="仿宋" w:cs="仿宋"/>
                <w:sz w:val="28"/>
                <w:szCs w:val="28"/>
              </w:rPr>
              <w:t>70%</w:t>
            </w:r>
          </w:p>
        </w:tc>
        <w:tc>
          <w:tcPr>
            <w:tcW w:w="1304" w:type="dxa"/>
            <w:vMerge w:val="restart"/>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0C7BA500">
            <w:pPr>
              <w:adjustRightInd w:val="0"/>
              <w:snapToGrid w:val="0"/>
              <w:spacing w:line="240" w:lineRule="auto"/>
              <w:ind w:left="0" w:leftChars="0" w:right="0" w:rightChars="0" w:firstLine="0" w:firstLineChars="0"/>
              <w:jc w:val="right"/>
              <w:rPr>
                <w:rFonts w:hint="eastAsia" w:ascii="仿宋" w:hAnsi="仿宋" w:eastAsia="仿宋" w:cs="仿宋"/>
                <w:sz w:val="28"/>
                <w:szCs w:val="28"/>
              </w:rPr>
            </w:pPr>
            <w:r>
              <w:rPr>
                <w:rFonts w:hint="eastAsia" w:ascii="仿宋" w:hAnsi="仿宋" w:eastAsia="仿宋" w:cs="仿宋"/>
                <w:sz w:val="28"/>
                <w:szCs w:val="28"/>
              </w:rPr>
              <w:t>100分</w:t>
            </w:r>
          </w:p>
        </w:tc>
      </w:tr>
      <w:tr w14:paraId="1F57FE06">
        <w:tblPrEx>
          <w:tblCellMar>
            <w:top w:w="0" w:type="dxa"/>
            <w:left w:w="115" w:type="dxa"/>
            <w:bottom w:w="0" w:type="dxa"/>
            <w:right w:w="115" w:type="dxa"/>
          </w:tblCellMar>
        </w:tblPrEx>
        <w:trPr>
          <w:trHeight w:val="0" w:hRule="atLeast"/>
          <w:jc w:val="center"/>
        </w:trPr>
        <w:tc>
          <w:tcPr>
            <w:tcW w:w="3217"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0E46F00F">
            <w:pPr>
              <w:adjustRightInd w:val="0"/>
              <w:snapToGrid w:val="0"/>
              <w:spacing w:line="240" w:lineRule="auto"/>
              <w:ind w:left="0" w:leftChars="0" w:right="0" w:rightChars="0" w:firstLine="0" w:firstLineChars="0"/>
              <w:jc w:val="center"/>
              <w:rPr>
                <w:rFonts w:hint="eastAsia" w:ascii="仿宋" w:hAnsi="仿宋" w:eastAsia="仿宋" w:cs="仿宋"/>
                <w:sz w:val="28"/>
                <w:szCs w:val="28"/>
              </w:rPr>
            </w:pPr>
            <w:r>
              <w:rPr>
                <w:rFonts w:hint="eastAsia" w:ascii="仿宋" w:hAnsi="仿宋" w:eastAsia="仿宋" w:cs="仿宋"/>
                <w:sz w:val="28"/>
                <w:szCs w:val="28"/>
              </w:rPr>
              <w:t>每年经营数据填写</w:t>
            </w:r>
          </w:p>
        </w:tc>
        <w:tc>
          <w:tcPr>
            <w:tcW w:w="1666" w:type="dxa"/>
            <w:vMerge w:val="continue"/>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2993577C">
            <w:pPr>
              <w:adjustRightInd w:val="0"/>
              <w:snapToGrid w:val="0"/>
              <w:spacing w:line="240" w:lineRule="auto"/>
              <w:ind w:left="0" w:leftChars="0" w:right="0" w:rightChars="0" w:firstLine="0" w:firstLineChars="0"/>
              <w:jc w:val="center"/>
              <w:rPr>
                <w:rFonts w:hint="eastAsia" w:ascii="仿宋" w:hAnsi="仿宋" w:eastAsia="仿宋" w:cs="仿宋"/>
                <w:sz w:val="28"/>
                <w:szCs w:val="28"/>
              </w:rPr>
            </w:pPr>
          </w:p>
        </w:tc>
        <w:tc>
          <w:tcPr>
            <w:tcW w:w="1304"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1FE00B38">
            <w:pPr>
              <w:adjustRightInd w:val="0"/>
              <w:snapToGrid w:val="0"/>
              <w:spacing w:line="240" w:lineRule="auto"/>
              <w:ind w:left="0" w:leftChars="0" w:right="0" w:rightChars="0" w:firstLine="0" w:firstLineChars="0"/>
              <w:jc w:val="center"/>
              <w:rPr>
                <w:rFonts w:hint="eastAsia" w:ascii="仿宋" w:hAnsi="仿宋" w:eastAsia="仿宋" w:cs="仿宋"/>
                <w:sz w:val="28"/>
                <w:szCs w:val="28"/>
              </w:rPr>
            </w:pPr>
            <w:r>
              <w:rPr>
                <w:rFonts w:hint="eastAsia" w:ascii="仿宋" w:hAnsi="仿宋" w:eastAsia="仿宋" w:cs="仿宋"/>
                <w:sz w:val="28"/>
                <w:szCs w:val="28"/>
              </w:rPr>
              <w:t>100分</w:t>
            </w:r>
          </w:p>
        </w:tc>
        <w:tc>
          <w:tcPr>
            <w:tcW w:w="1032" w:type="dxa"/>
            <w:tcBorders>
              <w:top w:val="single" w:color="auto" w:sz="4" w:space="0"/>
              <w:left w:val="single" w:color="auto" w:sz="4" w:space="0"/>
              <w:bottom w:val="single" w:color="auto" w:sz="4" w:space="0"/>
              <w:right w:val="single" w:color="auto" w:sz="4" w:space="0"/>
            </w:tcBorders>
            <w:noWrap w:val="0"/>
            <w:tcMar>
              <w:top w:w="-1" w:type="dxa"/>
              <w:left w:w="-1" w:type="dxa"/>
              <w:bottom w:w="-1" w:type="dxa"/>
              <w:right w:w="-1" w:type="dxa"/>
            </w:tcMar>
            <w:vAlign w:val="center"/>
          </w:tcPr>
          <w:p w14:paraId="3C4A93B6">
            <w:pPr>
              <w:adjustRightInd w:val="0"/>
              <w:snapToGrid w:val="0"/>
              <w:spacing w:line="240" w:lineRule="auto"/>
              <w:ind w:left="0" w:leftChars="0" w:right="0" w:rightChars="0" w:firstLine="0" w:firstLineChars="0"/>
              <w:jc w:val="right"/>
              <w:rPr>
                <w:rFonts w:hint="eastAsia" w:ascii="仿宋" w:hAnsi="仿宋" w:eastAsia="仿宋" w:cs="仿宋"/>
                <w:sz w:val="28"/>
                <w:szCs w:val="28"/>
              </w:rPr>
            </w:pPr>
            <w:r>
              <w:rPr>
                <w:rFonts w:hint="eastAsia" w:ascii="仿宋" w:hAnsi="仿宋" w:eastAsia="仿宋" w:cs="仿宋"/>
                <w:sz w:val="28"/>
                <w:szCs w:val="28"/>
              </w:rPr>
              <w:t>30%</w:t>
            </w:r>
          </w:p>
        </w:tc>
        <w:tc>
          <w:tcPr>
            <w:tcW w:w="1304" w:type="dxa"/>
            <w:vMerge w:val="continue"/>
            <w:tcBorders>
              <w:top w:val="single" w:color="auto" w:sz="4" w:space="0"/>
              <w:left w:val="single" w:color="auto" w:sz="4" w:space="0"/>
              <w:bottom w:val="single" w:color="000000" w:sz="8" w:space="0"/>
              <w:right w:val="single" w:color="auto" w:sz="4" w:space="0"/>
            </w:tcBorders>
            <w:noWrap w:val="0"/>
            <w:tcMar>
              <w:top w:w="-1" w:type="dxa"/>
              <w:left w:w="-1" w:type="dxa"/>
              <w:bottom w:w="-1" w:type="dxa"/>
              <w:right w:w="-1" w:type="dxa"/>
            </w:tcMar>
            <w:vAlign w:val="center"/>
          </w:tcPr>
          <w:p w14:paraId="12BD1199">
            <w:pPr>
              <w:adjustRightInd w:val="0"/>
              <w:snapToGrid w:val="0"/>
              <w:spacing w:after="160" w:line="240" w:lineRule="auto"/>
              <w:ind w:left="0" w:leftChars="0" w:right="0" w:rightChars="0" w:firstLine="0" w:firstLineChars="0"/>
              <w:jc w:val="right"/>
              <w:rPr>
                <w:rFonts w:hint="eastAsia" w:ascii="仿宋" w:hAnsi="仿宋" w:eastAsia="仿宋" w:cs="仿宋"/>
                <w:sz w:val="28"/>
                <w:szCs w:val="28"/>
              </w:rPr>
            </w:pPr>
          </w:p>
        </w:tc>
      </w:tr>
    </w:tbl>
    <w:p w14:paraId="10DE916A">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w:t>
      </w:r>
      <w:r>
        <w:rPr>
          <w:rFonts w:ascii="仿宋" w:hAnsi="仿宋" w:eastAsia="仿宋"/>
          <w:sz w:val="32"/>
          <w:szCs w:val="32"/>
        </w:rPr>
        <w:t>1</w:t>
      </w:r>
      <w:r>
        <w:rPr>
          <w:rFonts w:hint="eastAsia" w:ascii="仿宋" w:hAnsi="仿宋" w:eastAsia="仿宋"/>
          <w:sz w:val="32"/>
          <w:szCs w:val="32"/>
        </w:rPr>
        <w:t>)</w:t>
      </w:r>
      <w:r>
        <w:rPr>
          <w:rFonts w:hint="eastAsia" w:ascii="仿宋_GB2312" w:hAnsi="仿宋_GB2312" w:eastAsia="仿宋_GB2312" w:cs="仿宋_GB2312"/>
          <w:sz w:val="32"/>
          <w:szCs w:val="32"/>
        </w:rPr>
        <w:t>总得分=企业权益分值</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权重+业务表单得分</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权重</w:t>
      </w:r>
    </w:p>
    <w:p w14:paraId="508BC385">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(2)</w:t>
      </w:r>
      <w:r>
        <w:rPr>
          <w:rFonts w:hint="eastAsia" w:ascii="仿宋_GB2312" w:hAnsi="仿宋_GB2312" w:eastAsia="仿宋_GB2312" w:cs="仿宋_GB2312"/>
          <w:sz w:val="32"/>
          <w:szCs w:val="32"/>
        </w:rPr>
        <w:t>违反竞赛规定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提前进行操作或竞赛终止仍继续操作的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由现场裁判负责记录并酌情扣1-5分。</w:t>
      </w:r>
    </w:p>
    <w:p w14:paraId="24B409CE">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(3)</w:t>
      </w:r>
      <w:r>
        <w:rPr>
          <w:rFonts w:hint="eastAsia" w:ascii="仿宋_GB2312" w:hAnsi="仿宋_GB2312" w:eastAsia="仿宋_GB2312" w:cs="仿宋_GB2312"/>
          <w:sz w:val="32"/>
          <w:szCs w:val="32"/>
        </w:rPr>
        <w:t>在竞赛过程中，违反赛场纪律，由裁判现场记录参赛选手违纪情节，依据情节扣1-5分。</w:t>
      </w:r>
    </w:p>
    <w:p w14:paraId="415EC767">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(4)</w:t>
      </w:r>
      <w:r>
        <w:rPr>
          <w:rFonts w:hint="eastAsia" w:ascii="仿宋_GB2312" w:hAnsi="仿宋_GB2312" w:eastAsia="仿宋_GB2312" w:cs="仿宋_GB2312"/>
          <w:sz w:val="32"/>
          <w:szCs w:val="32"/>
        </w:rPr>
        <w:t>在完成工作任务的过程中违反操作规程或因操作不当，造成设备损坏或影响其他选手比赛的，扣5-10分；造成设备损坏或影响他人竞赛情节严重的，报竞赛执委会批准，由首席裁判宣布终止该选手的</w:t>
      </w:r>
      <w:r>
        <w:rPr>
          <w:rFonts w:hint="eastAsia" w:ascii="仿宋_GB2312" w:hAnsi="仿宋_GB2312" w:eastAsia="仿宋_GB2312" w:cs="仿宋_GB2312"/>
          <w:sz w:val="32"/>
          <w:szCs w:val="32"/>
          <w:lang w:val="en-US" w:eastAsia="zh-CN"/>
        </w:rPr>
        <w:t>竞</w:t>
      </w:r>
      <w:r>
        <w:rPr>
          <w:rFonts w:hint="eastAsia" w:ascii="仿宋_GB2312" w:hAnsi="仿宋_GB2312" w:eastAsia="仿宋_GB2312" w:cs="仿宋_GB2312"/>
          <w:sz w:val="32"/>
          <w:szCs w:val="32"/>
        </w:rPr>
        <w:t>赛，竞赛成绩以0分计算。</w:t>
      </w:r>
    </w:p>
    <w:p w14:paraId="2A326D02">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(5)</w:t>
      </w:r>
      <w:r>
        <w:rPr>
          <w:rFonts w:hint="eastAsia" w:ascii="仿宋_GB2312" w:hAnsi="仿宋_GB2312" w:eastAsia="仿宋_GB2312" w:cs="仿宋_GB2312"/>
          <w:sz w:val="32"/>
          <w:szCs w:val="32"/>
        </w:rPr>
        <w:t>损坏赛场提供的设备，浪费材料，污染赛场环境，工具遗忘在赛场等不符合职业规范的行为，视情节扣5-10分。</w:t>
      </w:r>
    </w:p>
    <w:p w14:paraId="74B4D3EB">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 w:hAnsi="仿宋" w:eastAsia="仿宋"/>
          <w:sz w:val="32"/>
          <w:szCs w:val="32"/>
        </w:rPr>
        <w:t>(</w:t>
      </w:r>
      <w:r>
        <w:rPr>
          <w:rFonts w:hint="eastAsia" w:ascii="仿宋" w:hAnsi="仿宋" w:eastAsia="仿宋"/>
          <w:sz w:val="32"/>
          <w:szCs w:val="32"/>
          <w:lang w:val="en-US" w:eastAsia="zh-CN"/>
        </w:rPr>
        <w:t>6</w:t>
      </w:r>
      <w:r>
        <w:rPr>
          <w:rFonts w:hint="eastAsia" w:ascii="仿宋" w:hAnsi="仿宋" w:eastAsia="仿宋"/>
          <w:sz w:val="32"/>
          <w:szCs w:val="32"/>
        </w:rPr>
        <w:t>)</w:t>
      </w:r>
      <w:r>
        <w:rPr>
          <w:rFonts w:hint="eastAsia" w:ascii="仿宋_GB2312" w:hAnsi="仿宋_GB2312" w:eastAsia="仿宋_GB2312" w:cs="仿宋_GB2312"/>
          <w:sz w:val="32"/>
          <w:szCs w:val="32"/>
        </w:rPr>
        <w:t>评分规则</w:t>
      </w:r>
    </w:p>
    <w:p w14:paraId="61CD4E91">
      <w:pPr>
        <w:widowControl/>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参赛队在双碳模拟经营决策竞赛平台的成绩即经营的所有者权益排名与填制报表换算综合排名，在各参赛队开展经营的各项决策数据提交后，由系统自动计算和形成每年比赛成绩；持续经营5年后，最后的总成绩即竞赛成绩。本次竞赛遵循“公开、公平、公正”的原则。</w:t>
      </w:r>
    </w:p>
    <w:p w14:paraId="37A5BF4D">
      <w:pPr>
        <w:shd w:val="clear" w:color="auto" w:fill="FFFFFF"/>
        <w:adjustRightInd w:val="0"/>
        <w:snapToGrid w:val="0"/>
        <w:spacing w:line="560" w:lineRule="exact"/>
        <w:ind w:firstLine="0"/>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评分细则</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9"/>
        <w:gridCol w:w="788"/>
        <w:gridCol w:w="970"/>
        <w:gridCol w:w="4432"/>
        <w:gridCol w:w="1053"/>
      </w:tblGrid>
      <w:tr w14:paraId="1199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750" w:type="pct"/>
            <w:tcBorders>
              <w:top w:val="single" w:color="auto" w:sz="4" w:space="0"/>
              <w:left w:val="single" w:color="auto" w:sz="4" w:space="0"/>
              <w:bottom w:val="single" w:color="auto" w:sz="4" w:space="0"/>
              <w:right w:val="single" w:color="auto" w:sz="4" w:space="0"/>
            </w:tcBorders>
            <w:vAlign w:val="center"/>
          </w:tcPr>
          <w:p w14:paraId="5ABEAD29">
            <w:pPr>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项目</w:t>
            </w:r>
          </w:p>
        </w:tc>
        <w:tc>
          <w:tcPr>
            <w:tcW w:w="462" w:type="pct"/>
            <w:tcBorders>
              <w:top w:val="single" w:color="auto" w:sz="4" w:space="0"/>
              <w:left w:val="single" w:color="auto" w:sz="4" w:space="0"/>
              <w:bottom w:val="single" w:color="auto" w:sz="4" w:space="0"/>
              <w:right w:val="single" w:color="auto" w:sz="4" w:space="0"/>
            </w:tcBorders>
            <w:vAlign w:val="center"/>
          </w:tcPr>
          <w:p w14:paraId="5EDEAC1F">
            <w:pPr>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权重</w:t>
            </w:r>
          </w:p>
        </w:tc>
        <w:tc>
          <w:tcPr>
            <w:tcW w:w="569" w:type="pct"/>
            <w:tcBorders>
              <w:top w:val="single" w:color="auto" w:sz="4" w:space="0"/>
              <w:left w:val="single" w:color="auto" w:sz="4" w:space="0"/>
              <w:bottom w:val="single" w:color="auto" w:sz="4" w:space="0"/>
              <w:right w:val="single" w:color="auto" w:sz="4" w:space="0"/>
            </w:tcBorders>
            <w:vAlign w:val="center"/>
          </w:tcPr>
          <w:p w14:paraId="44E4F59D">
            <w:pPr>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内容</w:t>
            </w:r>
          </w:p>
        </w:tc>
        <w:tc>
          <w:tcPr>
            <w:tcW w:w="2599" w:type="pct"/>
            <w:tcBorders>
              <w:top w:val="single" w:color="auto" w:sz="4" w:space="0"/>
              <w:left w:val="single" w:color="auto" w:sz="4" w:space="0"/>
              <w:bottom w:val="single" w:color="auto" w:sz="4" w:space="0"/>
              <w:right w:val="single" w:color="auto" w:sz="4" w:space="0"/>
            </w:tcBorders>
            <w:vAlign w:val="center"/>
          </w:tcPr>
          <w:p w14:paraId="5FF19DE7">
            <w:pPr>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评分细则</w:t>
            </w:r>
          </w:p>
        </w:tc>
        <w:tc>
          <w:tcPr>
            <w:tcW w:w="617" w:type="pct"/>
            <w:tcBorders>
              <w:top w:val="single" w:color="auto" w:sz="4" w:space="0"/>
              <w:left w:val="single" w:color="auto" w:sz="4" w:space="0"/>
              <w:bottom w:val="single" w:color="auto" w:sz="4" w:space="0"/>
              <w:right w:val="single" w:color="auto" w:sz="4" w:space="0"/>
            </w:tcBorders>
            <w:vAlign w:val="center"/>
          </w:tcPr>
          <w:p w14:paraId="7ACC2489">
            <w:pPr>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分值</w:t>
            </w:r>
          </w:p>
        </w:tc>
      </w:tr>
      <w:tr w14:paraId="42501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trPr>
        <w:tc>
          <w:tcPr>
            <w:tcW w:w="750" w:type="pct"/>
            <w:tcBorders>
              <w:top w:val="single" w:color="auto" w:sz="4" w:space="0"/>
              <w:left w:val="single" w:color="auto" w:sz="4" w:space="0"/>
              <w:bottom w:val="single" w:color="auto" w:sz="4" w:space="0"/>
              <w:right w:val="single" w:color="auto" w:sz="4" w:space="0"/>
            </w:tcBorders>
            <w:vAlign w:val="center"/>
          </w:tcPr>
          <w:p w14:paraId="1B341CB0">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企业权益（100分）</w:t>
            </w:r>
          </w:p>
        </w:tc>
        <w:tc>
          <w:tcPr>
            <w:tcW w:w="462" w:type="pct"/>
            <w:tcBorders>
              <w:top w:val="single" w:color="auto" w:sz="4" w:space="0"/>
              <w:left w:val="single" w:color="auto" w:sz="4" w:space="0"/>
              <w:bottom w:val="single" w:color="auto" w:sz="4" w:space="0"/>
              <w:right w:val="single" w:color="auto" w:sz="4" w:space="0"/>
            </w:tcBorders>
            <w:vAlign w:val="center"/>
          </w:tcPr>
          <w:p w14:paraId="625159BF">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0.7</w:t>
            </w:r>
          </w:p>
        </w:tc>
        <w:tc>
          <w:tcPr>
            <w:tcW w:w="569" w:type="pct"/>
            <w:tcBorders>
              <w:top w:val="single" w:color="auto" w:sz="4" w:space="0"/>
              <w:left w:val="single" w:color="auto" w:sz="4" w:space="0"/>
              <w:bottom w:val="single" w:color="auto" w:sz="4" w:space="0"/>
              <w:right w:val="single" w:color="auto" w:sz="4" w:space="0"/>
            </w:tcBorders>
            <w:vAlign w:val="center"/>
          </w:tcPr>
          <w:p w14:paraId="372C2D88">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企业权益得分</w:t>
            </w:r>
          </w:p>
        </w:tc>
        <w:tc>
          <w:tcPr>
            <w:tcW w:w="2599" w:type="pct"/>
            <w:tcBorders>
              <w:top w:val="single" w:color="auto" w:sz="4" w:space="0"/>
              <w:left w:val="single" w:color="auto" w:sz="4" w:space="0"/>
              <w:bottom w:val="single" w:color="auto" w:sz="4" w:space="0"/>
              <w:right w:val="single" w:color="auto" w:sz="4" w:space="0"/>
            </w:tcBorders>
            <w:vAlign w:val="center"/>
          </w:tcPr>
          <w:p w14:paraId="5C08DED9">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以赛项实际参赛队总数为基数，根据平台中最后一年企业权益排行榜，一、二、三批次比例分别为10%、15%、15%（小数点后四舍五入）。其中小组在第一批次得到100分；第二批次获得90分；第三批次获得80分；其余未得到批次名次的得到70分；小组在企业经营过程中，现金余额破产的，得到60分。参赛队未进行到第五年，按照0分处理（破产除外）。</w:t>
            </w:r>
          </w:p>
        </w:tc>
        <w:tc>
          <w:tcPr>
            <w:tcW w:w="617" w:type="pct"/>
            <w:tcBorders>
              <w:top w:val="single" w:color="auto" w:sz="4" w:space="0"/>
              <w:left w:val="single" w:color="auto" w:sz="4" w:space="0"/>
              <w:bottom w:val="single" w:color="auto" w:sz="4" w:space="0"/>
              <w:right w:val="single" w:color="auto" w:sz="4" w:space="0"/>
            </w:tcBorders>
            <w:vAlign w:val="center"/>
          </w:tcPr>
          <w:p w14:paraId="3695EDE0">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100分</w:t>
            </w:r>
          </w:p>
        </w:tc>
      </w:tr>
      <w:tr w14:paraId="5350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50" w:type="pct"/>
            <w:tcBorders>
              <w:top w:val="single" w:color="auto" w:sz="4" w:space="0"/>
              <w:left w:val="single" w:color="auto" w:sz="4" w:space="0"/>
              <w:bottom w:val="single" w:color="auto" w:sz="4" w:space="0"/>
              <w:right w:val="single" w:color="auto" w:sz="4" w:space="0"/>
            </w:tcBorders>
            <w:vAlign w:val="center"/>
          </w:tcPr>
          <w:p w14:paraId="7B7B401D">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企业经营业务数据表单填写（100分）</w:t>
            </w:r>
          </w:p>
        </w:tc>
        <w:tc>
          <w:tcPr>
            <w:tcW w:w="462" w:type="pct"/>
            <w:tcBorders>
              <w:top w:val="single" w:color="auto" w:sz="4" w:space="0"/>
              <w:left w:val="single" w:color="auto" w:sz="4" w:space="0"/>
              <w:bottom w:val="single" w:color="auto" w:sz="4" w:space="0"/>
              <w:right w:val="single" w:color="auto" w:sz="4" w:space="0"/>
            </w:tcBorders>
            <w:vAlign w:val="center"/>
          </w:tcPr>
          <w:p w14:paraId="003B53F8">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0.3</w:t>
            </w:r>
          </w:p>
        </w:tc>
        <w:tc>
          <w:tcPr>
            <w:tcW w:w="569" w:type="pct"/>
            <w:tcBorders>
              <w:top w:val="single" w:color="auto" w:sz="4" w:space="0"/>
              <w:left w:val="single" w:color="auto" w:sz="4" w:space="0"/>
              <w:bottom w:val="single" w:color="auto" w:sz="4" w:space="0"/>
              <w:right w:val="single" w:color="auto" w:sz="4" w:space="0"/>
            </w:tcBorders>
            <w:vAlign w:val="center"/>
          </w:tcPr>
          <w:p w14:paraId="73F5F2C6">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每年经营数据填写</w:t>
            </w:r>
          </w:p>
        </w:tc>
        <w:tc>
          <w:tcPr>
            <w:tcW w:w="2599" w:type="pct"/>
            <w:tcBorders>
              <w:top w:val="single" w:color="auto" w:sz="4" w:space="0"/>
              <w:left w:val="single" w:color="auto" w:sz="4" w:space="0"/>
              <w:bottom w:val="single" w:color="auto" w:sz="4" w:space="0"/>
              <w:right w:val="single" w:color="auto" w:sz="4" w:space="0"/>
            </w:tcBorders>
            <w:vAlign w:val="center"/>
          </w:tcPr>
          <w:p w14:paraId="2B0920DF">
            <w:pPr>
              <w:adjustRightInd w:val="0"/>
              <w:snapToGrid w:val="0"/>
              <w:spacing w:line="360" w:lineRule="auto"/>
              <w:ind w:firstLine="560" w:firstLineChars="200"/>
              <w:rPr>
                <w:rFonts w:hint="eastAsia" w:ascii="仿宋" w:hAnsi="仿宋" w:eastAsia="仿宋" w:cs="仿宋"/>
                <w:sz w:val="28"/>
                <w:szCs w:val="28"/>
              </w:rPr>
            </w:pPr>
            <w:r>
              <w:rPr>
                <w:rFonts w:hint="eastAsia" w:ascii="仿宋" w:hAnsi="仿宋" w:eastAsia="仿宋" w:cs="仿宋"/>
                <w:sz w:val="28"/>
                <w:szCs w:val="28"/>
              </w:rPr>
              <w:t>以各小组企业经营决策过程中的数据为蓝本，学生需要根据每年决策的数据，填写对应的业务数据表单，第一次答对得分100%；第二次答对60%；第三次答对40%；</w:t>
            </w:r>
            <w:r>
              <w:rPr>
                <w:rFonts w:hint="eastAsia" w:ascii="仿宋" w:hAnsi="仿宋" w:eastAsia="仿宋" w:cs="仿宋"/>
                <w:sz w:val="28"/>
                <w:szCs w:val="28"/>
                <w:lang w:val="en-US" w:eastAsia="zh-CN"/>
              </w:rPr>
              <w:t>第</w:t>
            </w:r>
            <w:r>
              <w:rPr>
                <w:rFonts w:hint="eastAsia" w:ascii="仿宋" w:hAnsi="仿宋" w:eastAsia="仿宋" w:cs="仿宋"/>
                <w:sz w:val="28"/>
                <w:szCs w:val="28"/>
              </w:rPr>
              <w:t>四次及以上系统会给出对应答案，填写正确后得分20%，学生要自行填写完成。五年经营模拟填制报表总分100分，第一年总分20分；第二年总分20分；第三年总分20分；第四年总分20分；第五年总分20分。具体分值分配见下表。</w:t>
            </w:r>
          </w:p>
        </w:tc>
        <w:tc>
          <w:tcPr>
            <w:tcW w:w="617" w:type="pct"/>
            <w:tcBorders>
              <w:top w:val="single" w:color="auto" w:sz="4" w:space="0"/>
              <w:left w:val="single" w:color="auto" w:sz="4" w:space="0"/>
              <w:bottom w:val="single" w:color="auto" w:sz="4" w:space="0"/>
              <w:right w:val="single" w:color="auto" w:sz="4" w:space="0"/>
            </w:tcBorders>
            <w:vAlign w:val="center"/>
          </w:tcPr>
          <w:p w14:paraId="00C4FA95">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100分</w:t>
            </w:r>
          </w:p>
        </w:tc>
      </w:tr>
    </w:tbl>
    <w:p w14:paraId="1F4D77A9">
      <w:pPr>
        <w:shd w:val="clear" w:color="auto" w:fill="FFFFFF"/>
        <w:adjustRightInd w:val="0"/>
        <w:snapToGrid w:val="0"/>
        <w:spacing w:line="560" w:lineRule="exact"/>
        <w:ind w:firstLine="0"/>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表单评分细则</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1"/>
        <w:gridCol w:w="3345"/>
        <w:gridCol w:w="1872"/>
        <w:gridCol w:w="1994"/>
      </w:tblGrid>
      <w:tr w14:paraId="05816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769" w:type="pct"/>
            <w:vAlign w:val="center"/>
          </w:tcPr>
          <w:p w14:paraId="3C9CD7BF">
            <w:pPr>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项目</w:t>
            </w:r>
          </w:p>
        </w:tc>
        <w:tc>
          <w:tcPr>
            <w:tcW w:w="1962" w:type="pct"/>
            <w:vAlign w:val="center"/>
          </w:tcPr>
          <w:p w14:paraId="4248C7AC">
            <w:pPr>
              <w:adjustRightInd w:val="0"/>
              <w:snapToGrid w:val="0"/>
              <w:spacing w:line="360" w:lineRule="auto"/>
              <w:ind w:firstLine="0"/>
              <w:jc w:val="center"/>
              <w:rPr>
                <w:rFonts w:hint="eastAsia" w:ascii="仿宋" w:hAnsi="仿宋" w:eastAsia="仿宋" w:cs="仿宋"/>
                <w:b/>
                <w:sz w:val="28"/>
                <w:szCs w:val="28"/>
              </w:rPr>
            </w:pPr>
            <w:r>
              <w:rPr>
                <w:rFonts w:hint="eastAsia" w:ascii="仿宋" w:hAnsi="仿宋" w:eastAsia="仿宋" w:cs="仿宋"/>
                <w:b/>
                <w:sz w:val="28"/>
                <w:szCs w:val="28"/>
              </w:rPr>
              <w:t>业务</w:t>
            </w:r>
          </w:p>
        </w:tc>
        <w:tc>
          <w:tcPr>
            <w:tcW w:w="1098" w:type="pct"/>
            <w:vAlign w:val="center"/>
          </w:tcPr>
          <w:p w14:paraId="489490E0">
            <w:pPr>
              <w:adjustRightInd w:val="0"/>
              <w:snapToGrid w:val="0"/>
              <w:spacing w:line="360" w:lineRule="auto"/>
              <w:ind w:firstLine="0"/>
              <w:jc w:val="center"/>
              <w:rPr>
                <w:rFonts w:hint="eastAsia" w:ascii="仿宋" w:hAnsi="仿宋" w:eastAsia="仿宋" w:cs="仿宋"/>
                <w:b/>
                <w:sz w:val="28"/>
                <w:szCs w:val="28"/>
              </w:rPr>
            </w:pPr>
            <w:r>
              <w:rPr>
                <w:rFonts w:hint="eastAsia" w:ascii="仿宋" w:hAnsi="仿宋" w:eastAsia="仿宋" w:cs="仿宋"/>
                <w:b/>
                <w:sz w:val="28"/>
                <w:szCs w:val="28"/>
              </w:rPr>
              <w:t>分值</w:t>
            </w:r>
          </w:p>
        </w:tc>
        <w:tc>
          <w:tcPr>
            <w:tcW w:w="1169" w:type="pct"/>
            <w:vAlign w:val="center"/>
          </w:tcPr>
          <w:p w14:paraId="5DEBAD8A">
            <w:pPr>
              <w:adjustRightInd w:val="0"/>
              <w:snapToGrid w:val="0"/>
              <w:spacing w:line="360" w:lineRule="auto"/>
              <w:jc w:val="center"/>
              <w:rPr>
                <w:rFonts w:hint="eastAsia" w:ascii="仿宋" w:hAnsi="仿宋" w:eastAsia="仿宋" w:cs="仿宋"/>
                <w:b/>
                <w:sz w:val="28"/>
                <w:szCs w:val="28"/>
              </w:rPr>
            </w:pPr>
            <w:r>
              <w:rPr>
                <w:rFonts w:hint="eastAsia" w:ascii="仿宋" w:hAnsi="仿宋" w:eastAsia="仿宋" w:cs="仿宋"/>
                <w:b/>
                <w:sz w:val="28"/>
                <w:szCs w:val="28"/>
              </w:rPr>
              <w:t>评分细则</w:t>
            </w:r>
          </w:p>
        </w:tc>
      </w:tr>
      <w:tr w14:paraId="0BB0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69" w:type="pct"/>
            <w:vMerge w:val="restart"/>
            <w:vAlign w:val="center"/>
          </w:tcPr>
          <w:p w14:paraId="62B8A046">
            <w:pPr>
              <w:adjustRightInd w:val="0"/>
              <w:snapToGrid w:val="0"/>
              <w:spacing w:line="360" w:lineRule="auto"/>
              <w:ind w:firstLine="0"/>
              <w:jc w:val="both"/>
              <w:rPr>
                <w:rFonts w:hint="eastAsia" w:ascii="仿宋" w:hAnsi="仿宋" w:eastAsia="仿宋" w:cs="仿宋"/>
                <w:sz w:val="28"/>
                <w:szCs w:val="28"/>
              </w:rPr>
            </w:pPr>
            <w:r>
              <w:rPr>
                <w:rFonts w:hint="eastAsia" w:ascii="仿宋" w:hAnsi="仿宋" w:eastAsia="仿宋" w:cs="仿宋"/>
                <w:sz w:val="28"/>
                <w:szCs w:val="28"/>
              </w:rPr>
              <w:t>每一完整年业务数据表单（20分）</w:t>
            </w:r>
          </w:p>
        </w:tc>
        <w:tc>
          <w:tcPr>
            <w:tcW w:w="1962" w:type="pct"/>
            <w:vAlign w:val="center"/>
          </w:tcPr>
          <w:p w14:paraId="11372769">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填制配额报表</w:t>
            </w:r>
          </w:p>
        </w:tc>
        <w:tc>
          <w:tcPr>
            <w:tcW w:w="1098" w:type="pct"/>
            <w:vAlign w:val="center"/>
          </w:tcPr>
          <w:p w14:paraId="605BC92E">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2分</w:t>
            </w:r>
          </w:p>
        </w:tc>
        <w:tc>
          <w:tcPr>
            <w:tcW w:w="1169" w:type="pct"/>
            <w:vMerge w:val="restart"/>
            <w:vAlign w:val="center"/>
          </w:tcPr>
          <w:p w14:paraId="14DF51D3">
            <w:pPr>
              <w:adjustRightInd w:val="0"/>
              <w:snapToGrid w:val="0"/>
              <w:spacing w:line="360" w:lineRule="auto"/>
              <w:ind w:firstLine="723"/>
              <w:rPr>
                <w:rFonts w:hint="eastAsia" w:ascii="仿宋" w:hAnsi="仿宋" w:eastAsia="仿宋" w:cs="仿宋"/>
                <w:sz w:val="28"/>
                <w:szCs w:val="28"/>
              </w:rPr>
            </w:pPr>
            <w:r>
              <w:rPr>
                <w:rFonts w:hint="eastAsia" w:ascii="仿宋" w:hAnsi="仿宋" w:eastAsia="仿宋" w:cs="仿宋"/>
                <w:sz w:val="28"/>
                <w:szCs w:val="28"/>
              </w:rPr>
              <w:t>第一次答对得分100%；第二次答对60%；第三次答对40%；</w:t>
            </w:r>
            <w:r>
              <w:rPr>
                <w:rFonts w:hint="eastAsia" w:ascii="仿宋" w:hAnsi="仿宋" w:eastAsia="仿宋" w:cs="仿宋"/>
                <w:sz w:val="28"/>
                <w:szCs w:val="28"/>
                <w:lang w:val="en-US" w:eastAsia="zh-CN"/>
              </w:rPr>
              <w:t>第</w:t>
            </w:r>
            <w:r>
              <w:rPr>
                <w:rFonts w:hint="eastAsia" w:ascii="仿宋" w:hAnsi="仿宋" w:eastAsia="仿宋" w:cs="仿宋"/>
                <w:sz w:val="28"/>
                <w:szCs w:val="28"/>
              </w:rPr>
              <w:t>四次及以上系统会给出对应答案，填写正确后得分20%。</w:t>
            </w:r>
          </w:p>
          <w:p w14:paraId="24738864">
            <w:pPr>
              <w:adjustRightInd w:val="0"/>
              <w:snapToGrid w:val="0"/>
              <w:spacing w:line="360" w:lineRule="auto"/>
              <w:ind w:firstLine="723"/>
              <w:rPr>
                <w:rFonts w:hint="eastAsia" w:ascii="仿宋" w:hAnsi="仿宋" w:eastAsia="仿宋" w:cs="仿宋"/>
                <w:sz w:val="28"/>
                <w:szCs w:val="28"/>
              </w:rPr>
            </w:pPr>
          </w:p>
        </w:tc>
      </w:tr>
      <w:tr w14:paraId="3BBDB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69" w:type="pct"/>
            <w:vMerge w:val="continue"/>
          </w:tcPr>
          <w:p w14:paraId="3AAF168A">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0A22EC9E">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填制碳汇报表</w:t>
            </w:r>
          </w:p>
        </w:tc>
        <w:tc>
          <w:tcPr>
            <w:tcW w:w="1098" w:type="pct"/>
            <w:vAlign w:val="center"/>
          </w:tcPr>
          <w:p w14:paraId="3EB1426F">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2分</w:t>
            </w:r>
          </w:p>
        </w:tc>
        <w:tc>
          <w:tcPr>
            <w:tcW w:w="1169" w:type="pct"/>
            <w:vMerge w:val="continue"/>
          </w:tcPr>
          <w:p w14:paraId="7437F11A">
            <w:pPr>
              <w:adjustRightInd w:val="0"/>
              <w:snapToGrid w:val="0"/>
              <w:spacing w:line="360" w:lineRule="auto"/>
              <w:ind w:firstLine="723"/>
              <w:jc w:val="center"/>
              <w:rPr>
                <w:rFonts w:hint="eastAsia" w:ascii="仿宋" w:hAnsi="仿宋" w:eastAsia="仿宋" w:cs="仿宋"/>
                <w:sz w:val="28"/>
                <w:szCs w:val="28"/>
              </w:rPr>
            </w:pPr>
          </w:p>
        </w:tc>
      </w:tr>
      <w:tr w14:paraId="2183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769" w:type="pct"/>
            <w:vMerge w:val="continue"/>
          </w:tcPr>
          <w:p w14:paraId="3F279C3D">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69B82E34">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填制生产线报表</w:t>
            </w:r>
          </w:p>
        </w:tc>
        <w:tc>
          <w:tcPr>
            <w:tcW w:w="1098" w:type="pct"/>
            <w:vAlign w:val="center"/>
          </w:tcPr>
          <w:p w14:paraId="2C0BD000">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1.5分</w:t>
            </w:r>
          </w:p>
        </w:tc>
        <w:tc>
          <w:tcPr>
            <w:tcW w:w="1169" w:type="pct"/>
            <w:vMerge w:val="continue"/>
          </w:tcPr>
          <w:p w14:paraId="3B8B9556">
            <w:pPr>
              <w:adjustRightInd w:val="0"/>
              <w:snapToGrid w:val="0"/>
              <w:spacing w:line="360" w:lineRule="auto"/>
              <w:ind w:firstLine="723"/>
              <w:jc w:val="center"/>
              <w:rPr>
                <w:rFonts w:hint="eastAsia" w:ascii="仿宋" w:hAnsi="仿宋" w:eastAsia="仿宋" w:cs="仿宋"/>
                <w:sz w:val="28"/>
                <w:szCs w:val="28"/>
              </w:rPr>
            </w:pPr>
          </w:p>
        </w:tc>
      </w:tr>
      <w:tr w14:paraId="12D5B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69" w:type="pct"/>
            <w:vMerge w:val="continue"/>
          </w:tcPr>
          <w:p w14:paraId="56A6C759">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339FF842">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填制物料报表</w:t>
            </w:r>
          </w:p>
        </w:tc>
        <w:tc>
          <w:tcPr>
            <w:tcW w:w="1098" w:type="pct"/>
            <w:vAlign w:val="center"/>
          </w:tcPr>
          <w:p w14:paraId="56FCAE3A">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1分</w:t>
            </w:r>
          </w:p>
        </w:tc>
        <w:tc>
          <w:tcPr>
            <w:tcW w:w="1169" w:type="pct"/>
            <w:vMerge w:val="continue"/>
          </w:tcPr>
          <w:p w14:paraId="4FFD28C9">
            <w:pPr>
              <w:adjustRightInd w:val="0"/>
              <w:snapToGrid w:val="0"/>
              <w:spacing w:line="360" w:lineRule="auto"/>
              <w:ind w:firstLine="723"/>
              <w:jc w:val="center"/>
              <w:rPr>
                <w:rFonts w:hint="eastAsia" w:ascii="仿宋" w:hAnsi="仿宋" w:eastAsia="仿宋" w:cs="仿宋"/>
                <w:sz w:val="28"/>
                <w:szCs w:val="28"/>
              </w:rPr>
            </w:pPr>
          </w:p>
        </w:tc>
      </w:tr>
      <w:tr w14:paraId="53902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69" w:type="pct"/>
            <w:vMerge w:val="continue"/>
          </w:tcPr>
          <w:p w14:paraId="7A292C13">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5243563C">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填制电力报表</w:t>
            </w:r>
          </w:p>
        </w:tc>
        <w:tc>
          <w:tcPr>
            <w:tcW w:w="1098" w:type="pct"/>
            <w:vAlign w:val="center"/>
          </w:tcPr>
          <w:p w14:paraId="4A4AD625">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2分</w:t>
            </w:r>
          </w:p>
        </w:tc>
        <w:tc>
          <w:tcPr>
            <w:tcW w:w="1169" w:type="pct"/>
            <w:vMerge w:val="continue"/>
          </w:tcPr>
          <w:p w14:paraId="599C381D">
            <w:pPr>
              <w:adjustRightInd w:val="0"/>
              <w:snapToGrid w:val="0"/>
              <w:spacing w:line="360" w:lineRule="auto"/>
              <w:ind w:firstLine="723"/>
              <w:jc w:val="center"/>
              <w:rPr>
                <w:rFonts w:hint="eastAsia" w:ascii="仿宋" w:hAnsi="仿宋" w:eastAsia="仿宋" w:cs="仿宋"/>
                <w:sz w:val="28"/>
                <w:szCs w:val="28"/>
              </w:rPr>
            </w:pPr>
          </w:p>
        </w:tc>
      </w:tr>
      <w:tr w14:paraId="67D96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69" w:type="pct"/>
            <w:vMerge w:val="continue"/>
          </w:tcPr>
          <w:p w14:paraId="5D292D9D">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0A09AAA8">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填制产品生产碳排放核算报表</w:t>
            </w:r>
          </w:p>
        </w:tc>
        <w:tc>
          <w:tcPr>
            <w:tcW w:w="1098" w:type="pct"/>
            <w:vAlign w:val="center"/>
          </w:tcPr>
          <w:p w14:paraId="7E85C204">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1.5分</w:t>
            </w:r>
          </w:p>
        </w:tc>
        <w:tc>
          <w:tcPr>
            <w:tcW w:w="1169" w:type="pct"/>
            <w:vMerge w:val="continue"/>
          </w:tcPr>
          <w:p w14:paraId="65F8631A">
            <w:pPr>
              <w:adjustRightInd w:val="0"/>
              <w:snapToGrid w:val="0"/>
              <w:spacing w:line="360" w:lineRule="auto"/>
              <w:ind w:firstLine="723"/>
              <w:jc w:val="center"/>
              <w:rPr>
                <w:rFonts w:hint="eastAsia" w:ascii="仿宋" w:hAnsi="仿宋" w:eastAsia="仿宋" w:cs="仿宋"/>
                <w:sz w:val="28"/>
                <w:szCs w:val="28"/>
              </w:rPr>
            </w:pPr>
          </w:p>
        </w:tc>
      </w:tr>
      <w:tr w14:paraId="6C3DA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69" w:type="pct"/>
            <w:vMerge w:val="continue"/>
          </w:tcPr>
          <w:p w14:paraId="7626CEF0">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3835EC98">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填制订单交付报表</w:t>
            </w:r>
          </w:p>
        </w:tc>
        <w:tc>
          <w:tcPr>
            <w:tcW w:w="1098" w:type="pct"/>
            <w:vAlign w:val="center"/>
          </w:tcPr>
          <w:p w14:paraId="060A65E4">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2分</w:t>
            </w:r>
          </w:p>
        </w:tc>
        <w:tc>
          <w:tcPr>
            <w:tcW w:w="1169" w:type="pct"/>
            <w:vMerge w:val="continue"/>
          </w:tcPr>
          <w:p w14:paraId="35566706">
            <w:pPr>
              <w:adjustRightInd w:val="0"/>
              <w:snapToGrid w:val="0"/>
              <w:spacing w:line="360" w:lineRule="auto"/>
              <w:ind w:firstLine="723"/>
              <w:jc w:val="center"/>
              <w:rPr>
                <w:rFonts w:hint="eastAsia" w:ascii="仿宋" w:hAnsi="仿宋" w:eastAsia="仿宋" w:cs="仿宋"/>
                <w:sz w:val="28"/>
                <w:szCs w:val="28"/>
              </w:rPr>
            </w:pPr>
          </w:p>
        </w:tc>
      </w:tr>
      <w:tr w14:paraId="26EF5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69" w:type="pct"/>
            <w:vMerge w:val="continue"/>
          </w:tcPr>
          <w:p w14:paraId="4D046559">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4C579F32">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填制绿贷报表</w:t>
            </w:r>
          </w:p>
        </w:tc>
        <w:tc>
          <w:tcPr>
            <w:tcW w:w="1098" w:type="pct"/>
            <w:vAlign w:val="center"/>
          </w:tcPr>
          <w:p w14:paraId="4B88197F">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1分</w:t>
            </w:r>
          </w:p>
        </w:tc>
        <w:tc>
          <w:tcPr>
            <w:tcW w:w="1169" w:type="pct"/>
            <w:vMerge w:val="continue"/>
          </w:tcPr>
          <w:p w14:paraId="7A6BF2AA">
            <w:pPr>
              <w:adjustRightInd w:val="0"/>
              <w:snapToGrid w:val="0"/>
              <w:spacing w:line="360" w:lineRule="auto"/>
              <w:ind w:firstLine="723"/>
              <w:jc w:val="center"/>
              <w:rPr>
                <w:rFonts w:hint="eastAsia" w:ascii="仿宋" w:hAnsi="仿宋" w:eastAsia="仿宋" w:cs="仿宋"/>
                <w:sz w:val="28"/>
                <w:szCs w:val="28"/>
              </w:rPr>
            </w:pPr>
          </w:p>
        </w:tc>
      </w:tr>
      <w:tr w14:paraId="38148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69" w:type="pct"/>
            <w:vMerge w:val="continue"/>
          </w:tcPr>
          <w:p w14:paraId="225694D2">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0A3545CB">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填制自有现金报表</w:t>
            </w:r>
          </w:p>
        </w:tc>
        <w:tc>
          <w:tcPr>
            <w:tcW w:w="1098" w:type="pct"/>
            <w:vAlign w:val="center"/>
          </w:tcPr>
          <w:p w14:paraId="3D55EB64">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2分</w:t>
            </w:r>
          </w:p>
        </w:tc>
        <w:tc>
          <w:tcPr>
            <w:tcW w:w="1169" w:type="pct"/>
            <w:vMerge w:val="continue"/>
          </w:tcPr>
          <w:p w14:paraId="00AC07F0">
            <w:pPr>
              <w:adjustRightInd w:val="0"/>
              <w:snapToGrid w:val="0"/>
              <w:spacing w:line="360" w:lineRule="auto"/>
              <w:ind w:firstLine="723"/>
              <w:jc w:val="center"/>
              <w:rPr>
                <w:rFonts w:hint="eastAsia" w:ascii="仿宋" w:hAnsi="仿宋" w:eastAsia="仿宋" w:cs="仿宋"/>
                <w:sz w:val="28"/>
                <w:szCs w:val="28"/>
              </w:rPr>
            </w:pPr>
          </w:p>
        </w:tc>
      </w:tr>
      <w:tr w14:paraId="1A5BF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pct"/>
            <w:vMerge w:val="continue"/>
          </w:tcPr>
          <w:p w14:paraId="42674D2A">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4CE5EA2D">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填制年末损益报表</w:t>
            </w:r>
          </w:p>
        </w:tc>
        <w:tc>
          <w:tcPr>
            <w:tcW w:w="1098" w:type="pct"/>
            <w:vAlign w:val="center"/>
          </w:tcPr>
          <w:p w14:paraId="050A27CF">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2.5分</w:t>
            </w:r>
          </w:p>
        </w:tc>
        <w:tc>
          <w:tcPr>
            <w:tcW w:w="1169" w:type="pct"/>
            <w:vMerge w:val="continue"/>
          </w:tcPr>
          <w:p w14:paraId="0B5D1B46">
            <w:pPr>
              <w:adjustRightInd w:val="0"/>
              <w:snapToGrid w:val="0"/>
              <w:spacing w:line="360" w:lineRule="auto"/>
              <w:ind w:firstLine="723"/>
              <w:jc w:val="center"/>
              <w:rPr>
                <w:rFonts w:hint="eastAsia" w:ascii="仿宋" w:hAnsi="仿宋" w:eastAsia="仿宋" w:cs="仿宋"/>
                <w:sz w:val="28"/>
                <w:szCs w:val="28"/>
              </w:rPr>
            </w:pPr>
          </w:p>
        </w:tc>
      </w:tr>
      <w:tr w14:paraId="2B201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769" w:type="pct"/>
            <w:vMerge w:val="continue"/>
          </w:tcPr>
          <w:p w14:paraId="675DBA2A">
            <w:pPr>
              <w:adjustRightInd w:val="0"/>
              <w:snapToGrid w:val="0"/>
              <w:spacing w:line="360" w:lineRule="auto"/>
              <w:ind w:firstLine="723"/>
              <w:jc w:val="center"/>
              <w:rPr>
                <w:rFonts w:hint="eastAsia" w:ascii="仿宋" w:hAnsi="仿宋" w:eastAsia="仿宋" w:cs="仿宋"/>
                <w:sz w:val="28"/>
                <w:szCs w:val="28"/>
              </w:rPr>
            </w:pPr>
          </w:p>
        </w:tc>
        <w:tc>
          <w:tcPr>
            <w:tcW w:w="1962" w:type="pct"/>
            <w:vAlign w:val="center"/>
          </w:tcPr>
          <w:p w14:paraId="0C0000E7">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填制年末权益报表</w:t>
            </w:r>
          </w:p>
        </w:tc>
        <w:tc>
          <w:tcPr>
            <w:tcW w:w="1098" w:type="pct"/>
            <w:vAlign w:val="center"/>
          </w:tcPr>
          <w:p w14:paraId="6C9AAACE">
            <w:pPr>
              <w:adjustRightInd w:val="0"/>
              <w:snapToGrid w:val="0"/>
              <w:spacing w:line="360" w:lineRule="auto"/>
              <w:ind w:firstLine="0"/>
              <w:jc w:val="center"/>
              <w:rPr>
                <w:rFonts w:hint="eastAsia" w:ascii="仿宋" w:hAnsi="仿宋" w:eastAsia="仿宋" w:cs="仿宋"/>
                <w:sz w:val="28"/>
                <w:szCs w:val="28"/>
              </w:rPr>
            </w:pPr>
            <w:r>
              <w:rPr>
                <w:rFonts w:hint="eastAsia" w:ascii="仿宋" w:hAnsi="仿宋" w:eastAsia="仿宋" w:cs="仿宋"/>
                <w:sz w:val="28"/>
                <w:szCs w:val="28"/>
              </w:rPr>
              <w:t>2.5分</w:t>
            </w:r>
          </w:p>
        </w:tc>
        <w:tc>
          <w:tcPr>
            <w:tcW w:w="1169" w:type="pct"/>
            <w:vMerge w:val="continue"/>
          </w:tcPr>
          <w:p w14:paraId="500C898A">
            <w:pPr>
              <w:adjustRightInd w:val="0"/>
              <w:snapToGrid w:val="0"/>
              <w:spacing w:line="360" w:lineRule="auto"/>
              <w:ind w:firstLine="723"/>
              <w:jc w:val="center"/>
              <w:rPr>
                <w:rFonts w:hint="eastAsia" w:ascii="仿宋" w:hAnsi="仿宋" w:eastAsia="仿宋" w:cs="仿宋"/>
                <w:sz w:val="28"/>
                <w:szCs w:val="28"/>
              </w:rPr>
            </w:pPr>
          </w:p>
        </w:tc>
      </w:tr>
    </w:tbl>
    <w:p w14:paraId="641CB49C">
      <w:pPr>
        <w:shd w:val="clear" w:color="auto" w:fill="FFFFFF"/>
        <w:adjustRightInd w:val="0"/>
        <w:snapToGrid w:val="0"/>
        <w:spacing w:line="560" w:lineRule="exact"/>
        <w:ind w:firstLine="643" w:firstLineChars="200"/>
        <w:rPr>
          <w:rFonts w:ascii="仿宋_GB2312" w:hAnsi="仿宋_GB2312" w:eastAsia="仿宋_GB2312" w:cs="仿宋_GB2312"/>
          <w:b/>
          <w:bCs/>
          <w:sz w:val="32"/>
          <w:szCs w:val="32"/>
        </w:rPr>
      </w:pPr>
      <w:r>
        <w:rPr>
          <w:rFonts w:hint="eastAsia" w:ascii="仿宋_GB2312" w:hAnsi="仿宋_GB2312" w:cs="仿宋_GB2312"/>
          <w:b/>
          <w:bCs/>
          <w:sz w:val="32"/>
          <w:szCs w:val="32"/>
        </w:rPr>
        <w:t>4.</w:t>
      </w:r>
      <w:r>
        <w:rPr>
          <w:rFonts w:hint="eastAsia" w:ascii="仿宋_GB2312" w:hAnsi="仿宋_GB2312" w:eastAsia="仿宋_GB2312" w:cs="仿宋_GB2312"/>
          <w:b/>
          <w:bCs/>
          <w:sz w:val="32"/>
          <w:szCs w:val="32"/>
        </w:rPr>
        <w:t>数字经济决策创新赛道</w:t>
      </w:r>
    </w:p>
    <w:p w14:paraId="268A8787">
      <w:pPr>
        <w:keepNext w:val="0"/>
        <w:keepLines w:val="0"/>
        <w:pageBreakBefore w:val="0"/>
        <w:shd w:val="clear" w:color="auto" w:fill="FFFFFF"/>
        <w:kinsoku/>
        <w:wordWrap/>
        <w:overflowPunct/>
        <w:topLinePunct w:val="0"/>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）省赛总决赛成绩=“数字经济决策”折算分*</w:t>
      </w:r>
      <w:r>
        <w:rPr>
          <w:rFonts w:hint="eastAsia" w:ascii="仿宋_GB2312" w:hAnsi="仿宋_GB2312" w:eastAsia="仿宋_GB2312" w:cs="仿宋_GB2312"/>
          <w:sz w:val="32"/>
          <w:szCs w:val="32"/>
          <w:lang w:val="en-US" w:eastAsia="zh-CN"/>
        </w:rPr>
        <w:t>60</w:t>
      </w:r>
      <w:r>
        <w:rPr>
          <w:rFonts w:hint="eastAsia" w:ascii="仿宋_GB2312" w:hAnsi="仿宋_GB2312" w:eastAsia="仿宋_GB2312" w:cs="仿宋_GB2312"/>
          <w:sz w:val="32"/>
          <w:szCs w:val="32"/>
        </w:rPr>
        <w:t>%+“数字经济大数据分析”*</w:t>
      </w:r>
      <w:r>
        <w:rPr>
          <w:rFonts w:hint="eastAsia" w:ascii="仿宋_GB2312" w:hAnsi="仿宋_GB2312" w:eastAsia="仿宋_GB2312" w:cs="仿宋_GB2312"/>
          <w:sz w:val="32"/>
          <w:szCs w:val="32"/>
          <w:lang w:val="en-US" w:eastAsia="zh-CN"/>
        </w:rPr>
        <w:t>40</w:t>
      </w:r>
      <w:r>
        <w:rPr>
          <w:rFonts w:hint="eastAsia" w:ascii="仿宋_GB2312" w:hAnsi="仿宋_GB2312" w:eastAsia="仿宋_GB2312" w:cs="仿宋_GB2312"/>
          <w:sz w:val="32"/>
          <w:szCs w:val="32"/>
        </w:rPr>
        <w:t>%</w:t>
      </w:r>
    </w:p>
    <w:p w14:paraId="575CA3C1">
      <w:pPr>
        <w:keepNext w:val="0"/>
        <w:keepLines w:val="0"/>
        <w:pageBreakBefore w:val="0"/>
        <w:shd w:val="clear" w:color="auto" w:fill="FFFFFF"/>
        <w:kinsoku/>
        <w:wordWrap/>
        <w:overflowPunct/>
        <w:topLinePunct w:val="0"/>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）评分规则：“数字经济决策”折算分：根据</w:t>
      </w:r>
      <w:r>
        <w:rPr>
          <w:rFonts w:hint="eastAsia" w:ascii="仿宋_GB2312" w:hAnsi="仿宋_GB2312" w:eastAsia="仿宋_GB2312" w:cs="仿宋_GB2312"/>
          <w:sz w:val="32"/>
          <w:szCs w:val="32"/>
          <w:lang w:val="en-US" w:eastAsia="zh-CN"/>
        </w:rPr>
        <w:t>赛事</w:t>
      </w:r>
      <w:r>
        <w:rPr>
          <w:rFonts w:hint="eastAsia" w:ascii="仿宋_GB2312" w:hAnsi="仿宋_GB2312" w:eastAsia="仿宋_GB2312" w:cs="仿宋_GB2312"/>
          <w:sz w:val="32"/>
          <w:szCs w:val="32"/>
        </w:rPr>
        <w:t>环节组内“数字经济决策”最终得分从高到低排名，第一名折算为100分、第二名折算为98分、第三名折算为96分，以此类推每降低一个名次折算分降低2分。</w:t>
      </w:r>
    </w:p>
    <w:p w14:paraId="2CD13245">
      <w:pPr>
        <w:widowControl/>
        <w:shd w:val="clear" w:color="auto" w:fill="FFFFFF"/>
        <w:adjustRightInd w:val="0"/>
        <w:snapToGrid w:val="0"/>
        <w:spacing w:line="560" w:lineRule="exact"/>
        <w:ind w:firstLine="640" w:firstLineChars="200"/>
        <w:jc w:val="left"/>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“数字经济大数据分析”得分=系统得分-违规扣分</w:t>
      </w:r>
    </w:p>
    <w:p w14:paraId="30DB7C63">
      <w:pPr>
        <w:widowControl/>
        <w:shd w:val="clear" w:color="auto" w:fill="FFFFFF"/>
        <w:adjustRightInd w:val="0"/>
        <w:snapToGrid w:val="0"/>
        <w:spacing w:line="560" w:lineRule="exact"/>
        <w:ind w:firstLine="640" w:firstLineChars="200"/>
        <w:jc w:val="left"/>
        <w:outlineLvl w:val="0"/>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九</w:t>
      </w:r>
      <w:r>
        <w:rPr>
          <w:rFonts w:ascii="黑体" w:hAnsi="黑体" w:eastAsia="黑体" w:cs="黑体"/>
          <w:kern w:val="0"/>
          <w:sz w:val="32"/>
          <w:szCs w:val="32"/>
          <w:shd w:val="clear" w:color="auto" w:fill="FFFFFF"/>
          <w:lang w:bidi="ar"/>
        </w:rPr>
        <w:t>、奖项设定</w:t>
      </w:r>
    </w:p>
    <w:p w14:paraId="5A8E9C89">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所有赛道设团队奖、优秀指导教师奖和优秀组织奖。</w:t>
      </w:r>
    </w:p>
    <w:p w14:paraId="17DFC328">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团队奖：以</w:t>
      </w:r>
      <w:r>
        <w:rPr>
          <w:rFonts w:hint="eastAsia" w:ascii="仿宋_GB2312" w:hAnsi="仿宋_GB2312" w:eastAsia="仿宋_GB2312" w:cs="仿宋_GB2312"/>
          <w:sz w:val="32"/>
          <w:szCs w:val="32"/>
          <w:lang w:val="en-US" w:eastAsia="zh-CN"/>
        </w:rPr>
        <w:t>参加</w:t>
      </w:r>
      <w:r>
        <w:rPr>
          <w:rFonts w:hint="eastAsia" w:ascii="仿宋_GB2312" w:hAnsi="仿宋_GB2312" w:eastAsia="仿宋_GB2312" w:cs="仿宋_GB2312"/>
          <w:sz w:val="32"/>
          <w:szCs w:val="32"/>
        </w:rPr>
        <w:t>省总决赛</w:t>
      </w:r>
      <w:r>
        <w:rPr>
          <w:rFonts w:hint="eastAsia" w:ascii="仿宋_GB2312" w:hAnsi="仿宋_GB2312" w:eastAsia="仿宋_GB2312" w:cs="仿宋_GB2312"/>
          <w:sz w:val="32"/>
          <w:szCs w:val="32"/>
          <w:lang w:val="en-US" w:eastAsia="zh-CN"/>
        </w:rPr>
        <w:t>队伍数量为</w:t>
      </w:r>
      <w:r>
        <w:rPr>
          <w:rFonts w:hint="eastAsia" w:ascii="仿宋_GB2312" w:hAnsi="仿宋_GB2312" w:eastAsia="仿宋_GB2312" w:cs="仿宋_GB2312"/>
          <w:sz w:val="32"/>
          <w:szCs w:val="32"/>
          <w:lang w:eastAsia="zh-CN"/>
        </w:rPr>
        <w:t>基数，</w:t>
      </w:r>
      <w:r>
        <w:rPr>
          <w:rFonts w:hint="eastAsia" w:ascii="仿宋_GB2312" w:hAnsi="仿宋_GB2312" w:eastAsia="仿宋_GB2312" w:cs="仿宋_GB2312"/>
          <w:sz w:val="32"/>
          <w:szCs w:val="32"/>
          <w:lang w:val="en-US" w:eastAsia="zh-CN"/>
        </w:rPr>
        <w:t>按照</w:t>
      </w:r>
      <w:r>
        <w:rPr>
          <w:rFonts w:hint="eastAsia" w:ascii="仿宋_GB2312" w:hAnsi="仿宋_GB2312" w:eastAsia="仿宋_GB2312" w:cs="仿宋_GB2312"/>
          <w:sz w:val="32"/>
          <w:szCs w:val="32"/>
        </w:rPr>
        <w:t>综合成绩排名设一等奖10%、二等奖20%、三等奖30%。</w:t>
      </w:r>
    </w:p>
    <w:p w14:paraId="50DDD0A1">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优秀指导教师奖：向获一等奖团队的指导教师颁发优秀指导教师证书。</w:t>
      </w:r>
    </w:p>
    <w:p w14:paraId="4F59FE57">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优秀组织奖：向获一等奖团队的院校颁发优秀组织奖证书。</w:t>
      </w:r>
    </w:p>
    <w:p w14:paraId="5CDA6CC9">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竞赛结束后，获奖名单将在竞赛网站上进行公示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获奖证书以报名信息为准，后期不得修改。无异议后，上报安徽省教育厅，经高教网公示无异议后，由安徽省教育厅发文公布获奖名单，向获奖团队、优秀指导教师和优秀组织院校颁发证书。</w:t>
      </w:r>
    </w:p>
    <w:p w14:paraId="0ED0C870">
      <w:pPr>
        <w:shd w:val="clear" w:color="auto" w:fill="FFFFFF"/>
        <w:adjustRightInd w:val="0"/>
        <w:snapToGrid w:val="0"/>
        <w:spacing w:line="560" w:lineRule="exact"/>
        <w:ind w:firstLine="640" w:firstLineChars="200"/>
        <w:outlineLvl w:val="0"/>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十、赛项安全</w:t>
      </w:r>
    </w:p>
    <w:p w14:paraId="29047843">
      <w:pPr>
        <w:shd w:val="clear" w:color="auto" w:fill="FFFFFF"/>
        <w:adjustRightInd w:val="0"/>
        <w:snapToGrid w:val="0"/>
        <w:spacing w:line="56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（一）比赛环境</w:t>
      </w:r>
    </w:p>
    <w:p w14:paraId="24A3C914">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大赛承办方将全力保障大赛的平台运行平稳并提供相关的服务，保障大赛的顺利进行。</w:t>
      </w:r>
    </w:p>
    <w:p w14:paraId="0BDCE3AD">
      <w:pPr>
        <w:shd w:val="clear" w:color="auto" w:fill="FFFFFF"/>
        <w:adjustRightInd w:val="0"/>
        <w:snapToGrid w:val="0"/>
        <w:spacing w:line="56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（二）应急处理</w:t>
      </w:r>
    </w:p>
    <w:p w14:paraId="08E38E9F">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比赛期间若发生意外事故，发现者应第一时间就报告大赛秘书处，同时采取措施避免事态扩大。大赛秘书处应立即启动预案予以解决并上报大赛组委会。赛事出现重大安全问题可以停赛，是否停赛由大赛组委会决定。</w:t>
      </w:r>
    </w:p>
    <w:p w14:paraId="252343FB">
      <w:pPr>
        <w:shd w:val="clear" w:color="auto" w:fill="FFFFFF"/>
        <w:adjustRightInd w:val="0"/>
        <w:snapToGrid w:val="0"/>
        <w:spacing w:line="56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（三）处罚措施</w:t>
      </w:r>
    </w:p>
    <w:p w14:paraId="70A1CAFE">
      <w:pPr>
        <w:shd w:val="clear" w:color="auto" w:fill="FFFFFF"/>
        <w:adjustRightInd w:val="0"/>
        <w:snapToGrid w:val="0"/>
        <w:spacing w:line="560" w:lineRule="exact"/>
        <w:ind w:firstLine="640" w:firstLineChars="200"/>
        <w:rPr>
          <w:rFonts w:hint="eastAsia" w:ascii="黑体" w:hAnsi="黑体" w:eastAsia="黑体" w:cs="黑体"/>
          <w:kern w:val="0"/>
          <w:sz w:val="32"/>
          <w:szCs w:val="32"/>
          <w:shd w:val="clear" w:color="auto" w:fill="FFFFFF"/>
          <w:lang w:bidi="ar"/>
        </w:rPr>
      </w:pPr>
      <w:r>
        <w:rPr>
          <w:rFonts w:hint="eastAsia" w:ascii="仿宋_GB2312" w:hAnsi="仿宋_GB2312" w:eastAsia="仿宋_GB2312" w:cs="仿宋_GB2312"/>
          <w:sz w:val="32"/>
          <w:szCs w:val="32"/>
        </w:rPr>
        <w:t>大赛期间严格遵守各项制度，合理安排各项赛程。由大赛仲裁委员会监督和保障大赛的公正性和公平性，对违规者坚决查处。大赛将严格贯彻执行中央八项规定精神和安徽省委三十条规定精神、坚持勤俭办赛，反对铺张浪费。</w:t>
      </w:r>
    </w:p>
    <w:p w14:paraId="56B0F013">
      <w:pPr>
        <w:widowControl/>
        <w:shd w:val="clear" w:color="auto" w:fill="FFFFFF"/>
        <w:adjustRightInd w:val="0"/>
        <w:snapToGrid w:val="0"/>
        <w:spacing w:line="560" w:lineRule="exact"/>
        <w:ind w:firstLine="640" w:firstLineChars="200"/>
        <w:jc w:val="left"/>
        <w:outlineLvl w:val="0"/>
        <w:rPr>
          <w:rFonts w:hint="eastAsia" w:ascii="黑体" w:hAnsi="黑体" w:eastAsia="黑体" w:cs="黑体"/>
          <w:kern w:val="0"/>
          <w:sz w:val="32"/>
          <w:szCs w:val="32"/>
          <w:shd w:val="clear" w:color="auto" w:fill="FFFFFF"/>
          <w:lang w:bidi="ar"/>
        </w:rPr>
      </w:pPr>
      <w:r>
        <w:rPr>
          <w:rFonts w:ascii="黑体" w:hAnsi="黑体" w:eastAsia="黑体" w:cs="黑体"/>
          <w:kern w:val="0"/>
          <w:sz w:val="32"/>
          <w:szCs w:val="32"/>
          <w:shd w:val="clear" w:color="auto" w:fill="FFFFFF"/>
          <w:lang w:bidi="ar"/>
        </w:rPr>
        <w:t>十</w:t>
      </w:r>
      <w:r>
        <w:rPr>
          <w:rFonts w:hint="eastAsia" w:ascii="黑体" w:hAnsi="黑体" w:eastAsia="黑体" w:cs="黑体"/>
          <w:kern w:val="0"/>
          <w:sz w:val="32"/>
          <w:szCs w:val="32"/>
          <w:shd w:val="clear" w:color="auto" w:fill="FFFFFF"/>
          <w:lang w:bidi="ar"/>
        </w:rPr>
        <w:t>一</w:t>
      </w:r>
      <w:r>
        <w:rPr>
          <w:rFonts w:ascii="黑体" w:hAnsi="黑体" w:eastAsia="黑体" w:cs="黑体"/>
          <w:kern w:val="0"/>
          <w:sz w:val="32"/>
          <w:szCs w:val="32"/>
          <w:shd w:val="clear" w:color="auto" w:fill="FFFFFF"/>
          <w:lang w:bidi="ar"/>
        </w:rPr>
        <w:t>、竞赛须知</w:t>
      </w:r>
    </w:p>
    <w:p w14:paraId="65FA6256">
      <w:pPr>
        <w:numPr>
          <w:ilvl w:val="255"/>
          <w:numId w:val="0"/>
        </w:numPr>
        <w:shd w:val="clear" w:color="auto" w:fill="FFFFFF"/>
        <w:adjustRightInd w:val="0"/>
        <w:snapToGrid w:val="0"/>
        <w:spacing w:line="560" w:lineRule="exact"/>
        <w:ind w:firstLine="643" w:firstLineChars="200"/>
        <w:outlineLvl w:val="1"/>
        <w:rPr>
          <w:rFonts w:ascii="仿宋_GB2312" w:hAnsi="仿宋_GB2312" w:eastAsia="仿宋_GB2312" w:cs="仿宋_GB2312"/>
          <w:sz w:val="32"/>
          <w:szCs w:val="32"/>
          <w:highlight w:val="none"/>
        </w:rPr>
      </w:pPr>
      <w:r>
        <w:rPr>
          <w:rFonts w:ascii="仿宋" w:hAnsi="仿宋" w:eastAsia="仿宋" w:cs="仿宋"/>
          <w:b/>
          <w:bCs/>
          <w:sz w:val="32"/>
          <w:szCs w:val="32"/>
          <w:highlight w:val="none"/>
          <w:shd w:val="clear" w:color="auto" w:fill="FFFFFF"/>
        </w:rPr>
        <w:t>（一）参赛队须知</w:t>
      </w:r>
    </w:p>
    <w:p w14:paraId="3A24C340">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color w:val="000000"/>
          <w:kern w:val="0"/>
          <w:sz w:val="32"/>
          <w:szCs w:val="32"/>
        </w:rPr>
      </w:pPr>
      <w:r>
        <w:rPr>
          <w:rFonts w:hint="eastAsia" w:ascii="仿宋" w:hAnsi="仿宋" w:eastAsia="仿宋"/>
          <w:sz w:val="32"/>
          <w:szCs w:val="32"/>
        </w:rPr>
        <w:t>(</w:t>
      </w:r>
      <w:r>
        <w:rPr>
          <w:rFonts w:ascii="仿宋" w:hAnsi="仿宋" w:eastAsia="仿宋"/>
          <w:sz w:val="32"/>
          <w:szCs w:val="32"/>
        </w:rPr>
        <w:t>1</w:t>
      </w:r>
      <w:r>
        <w:rPr>
          <w:rFonts w:hint="eastAsia" w:ascii="仿宋" w:hAnsi="仿宋" w:eastAsia="仿宋"/>
          <w:sz w:val="32"/>
          <w:szCs w:val="32"/>
        </w:rPr>
        <w:t>)</w:t>
      </w:r>
      <w:r>
        <w:rPr>
          <w:rFonts w:ascii="仿宋_GB2312" w:hAnsi="仿宋_GB2312" w:eastAsia="仿宋_GB2312" w:cs="仿宋_GB2312"/>
          <w:sz w:val="32"/>
          <w:szCs w:val="32"/>
        </w:rPr>
        <w:t>参赛队组成：</w:t>
      </w:r>
      <w:r>
        <w:rPr>
          <w:rFonts w:hint="eastAsia" w:ascii="仿宋_GB2312" w:hAnsi="仿宋_GB2312" w:eastAsia="仿宋_GB2312" w:cs="仿宋_GB2312"/>
          <w:sz w:val="32"/>
          <w:szCs w:val="32"/>
        </w:rPr>
        <w:t>参赛选手必须是具有正式学籍的高校在校学生。所有参赛选手必须使用真实学生身份报名参赛，如实填写姓名、所在学校、年级专业、学号、身份证信息、联系方式（手机、QQ、邮箱）等，如冒用他人姓名报名参赛，一经发现即取消参赛资格。</w:t>
      </w:r>
    </w:p>
    <w:p w14:paraId="7004D7ED">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 w:hAnsi="仿宋" w:eastAsia="仿宋"/>
          <w:sz w:val="32"/>
          <w:szCs w:val="32"/>
        </w:rPr>
        <w:t>(2)</w:t>
      </w:r>
      <w:r>
        <w:rPr>
          <w:rFonts w:ascii="仿宋_GB2312" w:hAnsi="仿宋_GB2312" w:eastAsia="仿宋_GB2312" w:cs="仿宋_GB2312"/>
          <w:sz w:val="32"/>
          <w:szCs w:val="32"/>
        </w:rPr>
        <w:t>参赛队员在报名获得审核确认后，原则上不再更换，如筹备过程中，队员因故不能参赛，所在</w:t>
      </w:r>
      <w:r>
        <w:rPr>
          <w:rFonts w:hint="eastAsia" w:ascii="仿宋_GB2312" w:hAnsi="仿宋_GB2312" w:eastAsia="仿宋_GB2312" w:cs="仿宋_GB2312"/>
          <w:sz w:val="32"/>
          <w:szCs w:val="32"/>
        </w:rPr>
        <w:t>单位</w:t>
      </w:r>
      <w:r>
        <w:rPr>
          <w:rFonts w:ascii="仿宋_GB2312" w:hAnsi="仿宋_GB2312" w:eastAsia="仿宋_GB2312" w:cs="仿宋_GB2312"/>
          <w:sz w:val="32"/>
          <w:szCs w:val="32"/>
        </w:rPr>
        <w:t>主管部门需出具书面说明并按相关规定补充人员并接受审核；竞赛开始后，参赛队不得更换参赛队员</w:t>
      </w:r>
      <w:r>
        <w:rPr>
          <w:rFonts w:hint="eastAsia" w:ascii="仿宋_GB2312" w:hAnsi="仿宋_GB2312" w:eastAsia="仿宋_GB2312" w:cs="仿宋_GB2312"/>
          <w:sz w:val="32"/>
          <w:szCs w:val="32"/>
        </w:rPr>
        <w:t>。</w:t>
      </w:r>
    </w:p>
    <w:p w14:paraId="6C64F8AD">
      <w:pPr>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eastAsia="仿宋_GB2312" w:cs="仿宋_GB2312"/>
          <w:sz w:val="32"/>
          <w:szCs w:val="32"/>
        </w:rPr>
        <w:t>3</w:t>
      </w:r>
      <w:r>
        <w:rPr>
          <w:rFonts w:hint="eastAsia" w:cs="仿宋_GB2312" w:asciiTheme="minorEastAsia" w:hAnsiTheme="minorEastAsia"/>
          <w:sz w:val="32"/>
          <w:szCs w:val="32"/>
        </w:rPr>
        <w:t>）</w:t>
      </w:r>
      <w:r>
        <w:rPr>
          <w:rFonts w:ascii="仿宋_GB2312" w:hAnsi="仿宋_GB2312" w:eastAsia="仿宋_GB2312" w:cs="仿宋_GB2312"/>
          <w:sz w:val="32"/>
          <w:szCs w:val="32"/>
        </w:rPr>
        <w:t>参赛队按照大赛赛程安排，凭大赛组委会颁发的参赛证、有效身份证件参加比赛及相关活动，参赛选手注意仪容仪表。</w:t>
      </w:r>
    </w:p>
    <w:p w14:paraId="0351BDDC">
      <w:pPr>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eastAsia="仿宋_GB2312" w:cs="仿宋_GB2312"/>
          <w:sz w:val="32"/>
          <w:szCs w:val="32"/>
        </w:rPr>
        <w:t>4</w:t>
      </w:r>
      <w:r>
        <w:rPr>
          <w:rFonts w:hint="eastAsia" w:cs="仿宋_GB2312" w:asciiTheme="minorEastAsia" w:hAnsiTheme="minorEastAsia"/>
          <w:sz w:val="32"/>
          <w:szCs w:val="32"/>
        </w:rPr>
        <w:t>）</w:t>
      </w:r>
      <w:r>
        <w:rPr>
          <w:rFonts w:hint="eastAsia" w:ascii="仿宋_GB2312" w:hAnsi="仿宋_GB2312" w:eastAsia="仿宋_GB2312" w:cs="仿宋_GB2312"/>
          <w:sz w:val="32"/>
          <w:szCs w:val="32"/>
        </w:rPr>
        <w:t>熟悉竞赛规程，做好本参赛队准备、组织、管理工作。</w:t>
      </w:r>
    </w:p>
    <w:p w14:paraId="41FC38C0">
      <w:pPr>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eastAsia="仿宋_GB2312" w:cs="仿宋_GB2312"/>
          <w:sz w:val="32"/>
          <w:szCs w:val="32"/>
        </w:rPr>
        <w:t>5</w:t>
      </w:r>
      <w:r>
        <w:rPr>
          <w:rFonts w:hint="eastAsia" w:cs="仿宋_GB2312" w:asciiTheme="minorEastAsia" w:hAnsiTheme="minorEastAsia"/>
          <w:sz w:val="32"/>
          <w:szCs w:val="32"/>
        </w:rPr>
        <w:t>）</w:t>
      </w:r>
      <w:r>
        <w:rPr>
          <w:rFonts w:hint="eastAsia" w:ascii="仿宋_GB2312" w:hAnsi="仿宋_GB2312" w:eastAsia="仿宋_GB2312" w:cs="仿宋_GB2312"/>
          <w:sz w:val="32"/>
          <w:szCs w:val="32"/>
        </w:rPr>
        <w:t>贯彻执行大赛各项规定，竞赛期间不得私自接触裁判。</w:t>
      </w:r>
    </w:p>
    <w:p w14:paraId="428F2D8D">
      <w:pPr>
        <w:adjustRightInd w:val="0"/>
        <w:snapToGrid w:val="0"/>
        <w:spacing w:line="560" w:lineRule="exact"/>
        <w:ind w:firstLine="640" w:firstLineChars="200"/>
        <w:rPr>
          <w:rFonts w:ascii="仿宋_GB2312" w:hAnsi="仿宋_GB2312" w:eastAsia="仿宋_GB2312" w:cs="仿宋_GB2312"/>
          <w:sz w:val="32"/>
          <w:szCs w:val="32"/>
        </w:rPr>
      </w:pPr>
      <w:r>
        <w:rPr>
          <w:rFonts w:hint="eastAsia" w:cs="仿宋_GB2312" w:asciiTheme="minorEastAsia" w:hAnsiTheme="minorEastAsia"/>
          <w:sz w:val="32"/>
          <w:szCs w:val="32"/>
        </w:rPr>
        <w:t>（</w:t>
      </w:r>
      <w:r>
        <w:rPr>
          <w:rFonts w:hint="eastAsia" w:ascii="仿宋_GB2312" w:hAnsi="仿宋_GB2312" w:eastAsia="仿宋_GB2312" w:cs="仿宋_GB2312"/>
          <w:sz w:val="32"/>
          <w:szCs w:val="32"/>
        </w:rPr>
        <w:t>6</w:t>
      </w:r>
      <w:r>
        <w:rPr>
          <w:rFonts w:hint="eastAsia" w:cs="仿宋_GB2312" w:asciiTheme="minorEastAsia" w:hAnsiTheme="minorEastAsia"/>
          <w:sz w:val="32"/>
          <w:szCs w:val="32"/>
        </w:rPr>
        <w:t>）</w:t>
      </w:r>
      <w:r>
        <w:rPr>
          <w:rFonts w:hint="eastAsia" w:ascii="仿宋_GB2312" w:hAnsi="仿宋_GB2312" w:eastAsia="仿宋_GB2312" w:cs="仿宋_GB2312"/>
          <w:sz w:val="32"/>
          <w:szCs w:val="32"/>
        </w:rPr>
        <w:t>准时参加赛前领队会议，并认真传达落实会议精神，确保参赛选手准时参加各项比赛及活动。</w:t>
      </w:r>
    </w:p>
    <w:p w14:paraId="4B3B04D8">
      <w:pPr>
        <w:shd w:val="clear" w:color="auto" w:fill="FFFFFF"/>
        <w:adjustRightInd w:val="0"/>
        <w:snapToGrid w:val="0"/>
        <w:spacing w:line="560" w:lineRule="exact"/>
        <w:ind w:firstLine="643" w:firstLineChars="200"/>
        <w:outlineLvl w:val="1"/>
        <w:rPr>
          <w:rFonts w:hint="eastAsia" w:ascii="仿宋" w:hAnsi="仿宋" w:eastAsia="仿宋" w:cs="仿宋"/>
          <w:b/>
          <w:bCs/>
          <w:sz w:val="32"/>
          <w:szCs w:val="32"/>
          <w:shd w:val="clear" w:color="auto" w:fill="FFFFFF"/>
        </w:rPr>
      </w:pPr>
      <w:r>
        <w:rPr>
          <w:rFonts w:ascii="仿宋" w:hAnsi="仿宋" w:eastAsia="仿宋" w:cs="仿宋"/>
          <w:b/>
          <w:bCs/>
          <w:sz w:val="32"/>
          <w:szCs w:val="32"/>
          <w:shd w:val="clear" w:color="auto" w:fill="FFFFFF"/>
        </w:rPr>
        <w:t>（二）领队和指导教师须知</w:t>
      </w:r>
    </w:p>
    <w:p w14:paraId="497A1CFC">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各参赛代表队要发扬良好道德风尚，听从指挥，服从裁判，不弄虚作假。如发现弄虚作假者，取消参赛资格，名次无效。</w:t>
      </w:r>
    </w:p>
    <w:p w14:paraId="6C2E4B07">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各代表队领队要坚决执行竞赛的各项规定，加强对参赛人员的管理，做好赛前准备工作，督促选手带好证件等竞赛相关材料。</w:t>
      </w:r>
    </w:p>
    <w:p w14:paraId="19644D7D">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竞赛过程中，除参加当场次竞赛的选手、执行裁判员、现场工作人员和经批准的人员外，领队、指导教师及其他人员一律不得进入竞赛现场。</w:t>
      </w:r>
    </w:p>
    <w:p w14:paraId="475ED63B">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参赛代表队若对竞赛过程有异议，在规定的时间内由领队向赛项监督仲裁组提出书面报告。</w:t>
      </w:r>
    </w:p>
    <w:p w14:paraId="53A7DE6D">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对申诉的仲裁结果，领队要带头服从和执行，并做好选手工作。参赛选手不得因申诉或对处理意见不服而停止竞赛，否则以弃权处理。</w:t>
      </w:r>
    </w:p>
    <w:p w14:paraId="5251533E">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bCs/>
          <w:sz w:val="32"/>
          <w:szCs w:val="32"/>
          <w:shd w:val="clear" w:color="auto" w:fill="FFFFFF"/>
        </w:rPr>
      </w:pPr>
      <w:r>
        <w:rPr>
          <w:rFonts w:hint="eastAsia" w:ascii="仿宋_GB2312" w:hAnsi="仿宋_GB2312" w:eastAsia="仿宋_GB2312" w:cs="仿宋_GB2312"/>
          <w:sz w:val="32"/>
          <w:szCs w:val="32"/>
          <w:lang w:val="zh-TW"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val="zh-TW" w:eastAsia="zh-CN"/>
        </w:rPr>
        <w:t>）</w:t>
      </w:r>
      <w:r>
        <w:rPr>
          <w:rFonts w:ascii="仿宋_GB2312" w:hAnsi="仿宋_GB2312" w:eastAsia="仿宋_GB2312" w:cs="仿宋_GB2312"/>
          <w:sz w:val="32"/>
          <w:szCs w:val="32"/>
          <w:lang w:val="zh-TW"/>
        </w:rPr>
        <w:t>指导老师应及时查看大赛专用网</w:t>
      </w:r>
      <w:r>
        <w:rPr>
          <w:rFonts w:ascii="仿宋_GB2312" w:hAnsi="仿宋_GB2312" w:eastAsia="仿宋_GB2312" w:cs="仿宋_GB2312"/>
          <w:sz w:val="32"/>
          <w:szCs w:val="32"/>
        </w:rPr>
        <w:t>页有关赛项的通知和内容，认真研究和掌握本赛项竞赛的规程、技术规范和赛场要求，指导选</w:t>
      </w:r>
      <w:r>
        <w:rPr>
          <w:rFonts w:ascii="仿宋_GB2312" w:hAnsi="仿宋_GB2312" w:eastAsia="仿宋_GB2312" w:cs="仿宋_GB2312"/>
          <w:sz w:val="32"/>
          <w:szCs w:val="32"/>
          <w:lang w:val="zh-TW"/>
        </w:rPr>
        <w:t>手做好赛前的一切技术准备和竞赛准备。</w:t>
      </w:r>
    </w:p>
    <w:p w14:paraId="64677277">
      <w:pPr>
        <w:pStyle w:val="5"/>
        <w:keepNext w:val="0"/>
        <w:keepLines w:val="0"/>
        <w:pageBreakBefore w:val="0"/>
        <w:widowControl/>
        <w:shd w:val="clear" w:color="auto" w:fill="FFFFFF"/>
        <w:kinsoku/>
        <w:wordWrap/>
        <w:overflowPunct/>
        <w:topLinePunct w:val="0"/>
        <w:autoSpaceDE/>
        <w:autoSpaceDN/>
        <w:bidi w:val="0"/>
        <w:adjustRightInd w:val="0"/>
        <w:snapToGrid w:val="0"/>
        <w:spacing w:beforeAutospacing="0" w:afterAutospacing="0" w:line="560" w:lineRule="exact"/>
        <w:ind w:firstLine="643" w:firstLineChars="200"/>
        <w:textAlignment w:val="auto"/>
        <w:outlineLvl w:val="1"/>
        <w:rPr>
          <w:rFonts w:hint="eastAsia" w:ascii="仿宋" w:hAnsi="仿宋" w:eastAsia="仿宋" w:cs="仿宋"/>
          <w:b/>
          <w:bCs/>
          <w:sz w:val="32"/>
          <w:szCs w:val="32"/>
          <w:shd w:val="clear" w:color="auto" w:fill="FFFFFF"/>
        </w:rPr>
      </w:pPr>
      <w:r>
        <w:rPr>
          <w:rFonts w:ascii="仿宋" w:hAnsi="仿宋" w:eastAsia="仿宋" w:cs="仿宋"/>
          <w:b/>
          <w:bCs/>
          <w:sz w:val="32"/>
          <w:szCs w:val="32"/>
          <w:shd w:val="clear" w:color="auto" w:fill="FFFFFF"/>
        </w:rPr>
        <w:t>（三）参赛选手须知</w:t>
      </w:r>
    </w:p>
    <w:p w14:paraId="186AF7E2">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参赛选手应按有关要求如实填报个人信息，否则取消竞赛资格。</w:t>
      </w:r>
    </w:p>
    <w:p w14:paraId="57CCE008">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参赛选手凭统一印制的参赛证、有效身份证件、着大赛服装参加竞赛。</w:t>
      </w:r>
    </w:p>
    <w:p w14:paraId="182465CE">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参赛选手应认真学习领会本次竞赛相关文件，自觉遵守大赛纪律，服从指挥，听从安排，文明参赛。</w:t>
      </w:r>
    </w:p>
    <w:p w14:paraId="5F87C0D4">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严禁参赛选手携带任何通讯设备、存储设备及其他与竞赛相关的资料与用品入场。</w:t>
      </w:r>
    </w:p>
    <w:p w14:paraId="771969D5">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参赛选手应提前15分钟抵达赛场，凭参赛证、身份证件检录，按要求入场，不得迟到早退。</w:t>
      </w:r>
    </w:p>
    <w:p w14:paraId="5216767B">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参赛选手应按抽签结果在指定位置</w:t>
      </w:r>
      <w:r>
        <w:rPr>
          <w:rFonts w:hint="eastAsia" w:ascii="仿宋_GB2312" w:hAnsi="仿宋_GB2312" w:eastAsia="仿宋_GB2312" w:cs="仿宋_GB2312"/>
          <w:sz w:val="32"/>
          <w:szCs w:val="32"/>
          <w:lang w:eastAsia="zh-CN"/>
        </w:rPr>
        <w:t>就座</w:t>
      </w:r>
      <w:r>
        <w:rPr>
          <w:rFonts w:ascii="仿宋_GB2312" w:hAnsi="仿宋_GB2312" w:eastAsia="仿宋_GB2312" w:cs="仿宋_GB2312"/>
          <w:sz w:val="32"/>
          <w:szCs w:val="32"/>
        </w:rPr>
        <w:t>。</w:t>
      </w:r>
    </w:p>
    <w:p w14:paraId="5BEF6E7A">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参赛选手须在确认竞赛内容和现场设备等无误后开始竞赛。在竞赛过程中，如有疑问，参赛选手应持“咨询”示意牌示意，裁判长应按照有关要求及时予以答疑；如遇设备或软件等故障，参赛选手应持“故障”示意牌示意，裁判长、技术人员等应及时予以解决。确因计算机软件或硬件故障，致使操作无法继续的，经裁判长确认，予以启用备用计算机；如遇身体不适，参赛选手应持“医务”示意牌示意，现场医务人员按应急预案救治。</w:t>
      </w:r>
    </w:p>
    <w:p w14:paraId="02B331BC">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各参赛选手必须按规范要求操作竞赛设备。一旦出现较严重的安全事故，经裁判长批准后将立即取消其参赛资格。</w:t>
      </w:r>
    </w:p>
    <w:p w14:paraId="2A136DA0">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竞赛时间终了，选手应全体起立，结束操作。签字确认成绩后方可离开赛场。</w:t>
      </w:r>
    </w:p>
    <w:p w14:paraId="55CC3BBD">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仿宋"/>
          <w:b/>
          <w:bCs/>
          <w:sz w:val="32"/>
          <w:szCs w:val="32"/>
          <w:shd w:val="clear" w:color="auto" w:fill="FFFFFF"/>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在竞赛期间，未经执委会的批准，参赛选手不得接受其他单位和个人进行的与竞赛内容相关的采访。参赛选手不得将竞赛的相关信息私自公布。</w:t>
      </w:r>
    </w:p>
    <w:p w14:paraId="1D01DDD8">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3" w:firstLineChars="200"/>
        <w:textAlignment w:val="auto"/>
        <w:outlineLvl w:val="1"/>
        <w:rPr>
          <w:rFonts w:hint="eastAsia" w:ascii="仿宋" w:hAnsi="仿宋" w:eastAsia="仿宋" w:cs="仿宋"/>
          <w:b/>
          <w:bCs/>
          <w:sz w:val="32"/>
          <w:szCs w:val="32"/>
          <w:shd w:val="clear" w:color="auto" w:fill="FFFFFF"/>
        </w:rPr>
      </w:pPr>
      <w:r>
        <w:rPr>
          <w:rFonts w:ascii="仿宋" w:hAnsi="仿宋" w:eastAsia="仿宋" w:cs="仿宋"/>
          <w:b/>
          <w:bCs/>
          <w:sz w:val="32"/>
          <w:szCs w:val="32"/>
          <w:shd w:val="clear" w:color="auto" w:fill="FFFFFF"/>
        </w:rPr>
        <w:t>（四）工作人员须知</w:t>
      </w:r>
    </w:p>
    <w:p w14:paraId="6BE9C8EF">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工作人员必须统一佩戴由大赛组委会签发的相应证件，着装整齐。</w:t>
      </w:r>
    </w:p>
    <w:p w14:paraId="132444CC">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工作人员不得影响参赛选手比赛，不允许有影响比赛公平的行为。</w:t>
      </w:r>
    </w:p>
    <w:p w14:paraId="426592C6">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服从领导，听从指挥，以高度负责的精神、严肃认真的态度做好各项工作。</w:t>
      </w:r>
    </w:p>
    <w:p w14:paraId="53678CC0">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熟悉比赛规程，认真遵守各项比赛规则和工作要求。</w:t>
      </w:r>
    </w:p>
    <w:p w14:paraId="687B1EC9">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坚守岗位，如有急事需要离开岗位时，应经领导同意，并做好工作衔接。</w:t>
      </w:r>
    </w:p>
    <w:p w14:paraId="6C2FC47E">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严格遵守比赛纪律，如发现其他人员有违反比赛纪律的行为，应予以制止。情节严重的，应向竞赛组委会反映。</w:t>
      </w:r>
    </w:p>
    <w:p w14:paraId="1DE346FA">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发扬无私奉献和团结协作的精神，提供热情、优质服务。</w:t>
      </w:r>
    </w:p>
    <w:p w14:paraId="0C62215B">
      <w:pPr>
        <w:shd w:val="clear" w:color="auto" w:fill="FFFFFF"/>
        <w:adjustRightInd w:val="0"/>
        <w:snapToGrid w:val="0"/>
        <w:spacing w:line="560" w:lineRule="exact"/>
        <w:ind w:firstLine="640" w:firstLineChars="200"/>
        <w:outlineLvl w:val="0"/>
        <w:rPr>
          <w:rFonts w:hint="eastAsia" w:ascii="黑体" w:hAnsi="黑体" w:eastAsia="黑体" w:cs="黑体"/>
          <w:kern w:val="0"/>
          <w:sz w:val="32"/>
          <w:szCs w:val="32"/>
          <w:shd w:val="clear" w:color="auto" w:fill="FFFFFF"/>
          <w:lang w:bidi="ar"/>
        </w:rPr>
      </w:pPr>
      <w:r>
        <w:rPr>
          <w:rFonts w:ascii="黑体" w:hAnsi="黑体" w:eastAsia="黑体" w:cs="黑体"/>
          <w:kern w:val="0"/>
          <w:sz w:val="32"/>
          <w:szCs w:val="32"/>
          <w:shd w:val="clear" w:color="auto" w:fill="FFFFFF"/>
          <w:lang w:bidi="ar"/>
        </w:rPr>
        <w:t>十</w:t>
      </w:r>
      <w:r>
        <w:rPr>
          <w:rFonts w:hint="eastAsia" w:ascii="黑体" w:hAnsi="黑体" w:eastAsia="黑体" w:cs="黑体"/>
          <w:kern w:val="0"/>
          <w:sz w:val="32"/>
          <w:szCs w:val="32"/>
          <w:shd w:val="clear" w:color="auto" w:fill="FFFFFF"/>
          <w:lang w:bidi="ar"/>
        </w:rPr>
        <w:t>二</w:t>
      </w:r>
      <w:r>
        <w:rPr>
          <w:rFonts w:ascii="黑体" w:hAnsi="黑体" w:eastAsia="黑体" w:cs="黑体"/>
          <w:kern w:val="0"/>
          <w:sz w:val="32"/>
          <w:szCs w:val="32"/>
          <w:shd w:val="clear" w:color="auto" w:fill="FFFFFF"/>
          <w:lang w:bidi="ar"/>
        </w:rPr>
        <w:t>、申诉与仲裁</w:t>
      </w:r>
    </w:p>
    <w:p w14:paraId="0968F65A">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比赛过程中，若出现有失公正或有关人员违规等现象，参赛学校领队可在比赛结束后</w:t>
      </w:r>
      <w:r>
        <w:rPr>
          <w:rFonts w:hint="eastAsia" w:ascii="仿宋_GB2312" w:hAnsi="仿宋_GB2312" w:eastAsia="仿宋_GB2312" w:cs="仿宋_GB2312"/>
          <w:sz w:val="32"/>
          <w:szCs w:val="32"/>
          <w:lang w:val="en-US" w:eastAsia="zh-CN"/>
        </w:rPr>
        <w:t>48</w:t>
      </w:r>
      <w:r>
        <w:rPr>
          <w:rFonts w:hint="eastAsia" w:ascii="仿宋_GB2312" w:hAnsi="仿宋_GB2312" w:eastAsia="仿宋_GB2312" w:cs="仿宋_GB2312"/>
          <w:sz w:val="32"/>
          <w:szCs w:val="32"/>
        </w:rPr>
        <w:t>小时之内向仲裁委员会提出加盖</w:t>
      </w:r>
      <w:r>
        <w:rPr>
          <w:rFonts w:hint="eastAsia" w:ascii="仿宋_GB2312" w:hAnsi="仿宋_GB2312" w:eastAsia="仿宋_GB2312" w:cs="仿宋_GB2312"/>
          <w:sz w:val="32"/>
          <w:szCs w:val="32"/>
          <w:highlight w:val="none"/>
        </w:rPr>
        <w:t>学校公章</w:t>
      </w:r>
      <w:r>
        <w:rPr>
          <w:rFonts w:hint="eastAsia" w:ascii="仿宋_GB2312" w:hAnsi="仿宋_GB2312" w:eastAsia="仿宋_GB2312" w:cs="仿宋_GB2312"/>
          <w:sz w:val="32"/>
          <w:szCs w:val="32"/>
        </w:rPr>
        <w:t>的书面申诉。仲裁委员会在接到申诉后立即组织复议，并及时反馈复议结果。仲裁委员会的仲裁结果为最终结果。</w:t>
      </w:r>
    </w:p>
    <w:p w14:paraId="0363A28B">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3" w:firstLineChars="200"/>
        <w:textAlignment w:val="auto"/>
        <w:outlineLvl w:val="1"/>
        <w:rPr>
          <w:rFonts w:hint="eastAsia" w:ascii="仿宋" w:hAnsi="仿宋" w:eastAsia="仿宋" w:cs="仿宋"/>
          <w:b/>
          <w:bCs/>
          <w:sz w:val="32"/>
          <w:szCs w:val="32"/>
          <w:shd w:val="clear" w:color="auto" w:fill="FFFFFF"/>
        </w:rPr>
      </w:pPr>
      <w:r>
        <w:rPr>
          <w:rFonts w:hint="eastAsia" w:ascii="仿宋" w:hAnsi="仿宋" w:eastAsia="仿宋" w:cs="仿宋"/>
          <w:b/>
          <w:bCs/>
          <w:sz w:val="32"/>
          <w:szCs w:val="32"/>
          <w:shd w:val="clear" w:color="auto" w:fill="FFFFFF"/>
        </w:rPr>
        <w:t>（一）</w:t>
      </w:r>
      <w:r>
        <w:rPr>
          <w:rFonts w:ascii="仿宋" w:hAnsi="仿宋" w:eastAsia="仿宋" w:cs="仿宋"/>
          <w:b/>
          <w:bCs/>
          <w:sz w:val="32"/>
          <w:szCs w:val="32"/>
          <w:shd w:val="clear" w:color="auto" w:fill="FFFFFF"/>
        </w:rPr>
        <w:t>申诉</w:t>
      </w:r>
    </w:p>
    <w:p w14:paraId="5913D7BA">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w:t>
      </w:r>
      <w:r>
        <w:rPr>
          <w:rFonts w:ascii="仿宋_GB2312" w:hAnsi="仿宋_GB2312" w:eastAsia="仿宋_GB2312" w:cs="仿宋_GB2312"/>
          <w:kern w:val="2"/>
          <w:sz w:val="32"/>
          <w:szCs w:val="32"/>
        </w:rPr>
        <w:t>申诉范围</w:t>
      </w:r>
    </w:p>
    <w:p w14:paraId="5469BE96">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各参赛团队对不符合大赛和赛项规程规定的赛场管理、成绩评定，参赛队员以及工作人员的不规范行为等，可向大赛仲裁委员会提出书面申诉。</w:t>
      </w:r>
    </w:p>
    <w:p w14:paraId="5F8D6B45">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w:t>
      </w:r>
      <w:r>
        <w:rPr>
          <w:rFonts w:ascii="仿宋_GB2312" w:hAnsi="仿宋_GB2312" w:eastAsia="仿宋_GB2312" w:cs="仿宋_GB2312"/>
          <w:kern w:val="2"/>
          <w:sz w:val="32"/>
          <w:szCs w:val="32"/>
        </w:rPr>
        <w:t>申诉主体</w:t>
      </w:r>
    </w:p>
    <w:p w14:paraId="2DF8D7FF">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申诉主体为参赛队领队。</w:t>
      </w:r>
    </w:p>
    <w:p w14:paraId="36EF7241">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w:t>
      </w:r>
      <w:r>
        <w:rPr>
          <w:rFonts w:ascii="仿宋_GB2312" w:hAnsi="仿宋_GB2312" w:eastAsia="仿宋_GB2312" w:cs="仿宋_GB2312"/>
          <w:kern w:val="2"/>
          <w:sz w:val="32"/>
          <w:szCs w:val="32"/>
        </w:rPr>
        <w:t>申诉启动与形式</w:t>
      </w:r>
    </w:p>
    <w:p w14:paraId="01FB858D">
      <w:pPr>
        <w:keepNext w:val="0"/>
        <w:keepLines w:val="0"/>
        <w:pageBreakBefore w:val="0"/>
        <w:widowControl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申诉启动时，参赛团队应向大赛仲裁委员会递交领队亲笔签字同意的书面报告。书面报告应对申诉事件的现象、发生时间、涉及人员、申诉依据等进行充分、实事求是的叙述。非书面申诉不予受理。</w:t>
      </w:r>
    </w:p>
    <w:p w14:paraId="678DD4D3">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w:t>
      </w:r>
      <w:r>
        <w:rPr>
          <w:rFonts w:ascii="仿宋_GB2312" w:hAnsi="仿宋_GB2312" w:eastAsia="仿宋_GB2312" w:cs="仿宋_GB2312"/>
          <w:kern w:val="2"/>
          <w:sz w:val="32"/>
          <w:szCs w:val="32"/>
        </w:rPr>
        <w:t>申诉时效</w:t>
      </w:r>
    </w:p>
    <w:p w14:paraId="0355A131">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提出申诉的时间应在比赛结束后（选手赛场比赛内容全部完成）</w:t>
      </w:r>
      <w:r>
        <w:rPr>
          <w:rFonts w:hint="eastAsia" w:ascii="仿宋_GB2312" w:hAnsi="仿宋_GB2312" w:eastAsia="仿宋_GB2312" w:cs="仿宋_GB2312"/>
          <w:sz w:val="32"/>
          <w:szCs w:val="32"/>
          <w:lang w:val="en-US" w:eastAsia="zh-CN"/>
        </w:rPr>
        <w:t>24</w:t>
      </w:r>
      <w:r>
        <w:rPr>
          <w:rFonts w:ascii="仿宋_GB2312" w:hAnsi="仿宋_GB2312" w:eastAsia="仿宋_GB2312" w:cs="仿宋_GB2312"/>
          <w:sz w:val="32"/>
          <w:szCs w:val="32"/>
        </w:rPr>
        <w:t>小时内。超过时效不予受理。</w:t>
      </w:r>
    </w:p>
    <w:p w14:paraId="4F65CA24">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5.</w:t>
      </w:r>
      <w:r>
        <w:rPr>
          <w:rFonts w:ascii="仿宋_GB2312" w:hAnsi="仿宋_GB2312" w:eastAsia="仿宋_GB2312" w:cs="仿宋_GB2312"/>
          <w:kern w:val="2"/>
          <w:sz w:val="32"/>
          <w:szCs w:val="32"/>
        </w:rPr>
        <w:t>申诉撤回</w:t>
      </w:r>
    </w:p>
    <w:p w14:paraId="72EFBD61">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申诉方可随时提出放弃申诉。</w:t>
      </w:r>
    </w:p>
    <w:p w14:paraId="0D02BF3F">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lang w:val="en-US" w:eastAsia="zh-CN"/>
        </w:rPr>
        <w:t>6.</w:t>
      </w:r>
      <w:r>
        <w:rPr>
          <w:rFonts w:ascii="仿宋_GB2312" w:hAnsi="仿宋_GB2312" w:eastAsia="仿宋_GB2312" w:cs="仿宋_GB2312"/>
          <w:kern w:val="2"/>
          <w:sz w:val="32"/>
          <w:szCs w:val="32"/>
        </w:rPr>
        <w:t>申诉提交方式</w:t>
      </w:r>
    </w:p>
    <w:p w14:paraId="2A217A42">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highlight w:val="none"/>
        </w:rPr>
      </w:pPr>
      <w:r>
        <w:rPr>
          <w:rFonts w:hint="eastAsia" w:ascii="仿宋_GB2312" w:hAnsi="仿宋_GB2312" w:eastAsia="仿宋_GB2312" w:cs="仿宋_GB2312"/>
          <w:sz w:val="32"/>
          <w:szCs w:val="32"/>
          <w:highlight w:val="none"/>
          <w:lang w:val="en-US" w:eastAsia="zh-CN"/>
        </w:rPr>
        <w:t>合肥大学</w:t>
      </w:r>
      <w:r>
        <w:rPr>
          <w:highlight w:val="none"/>
        </w:rPr>
        <w:fldChar w:fldCharType="begin"/>
      </w:r>
      <w:r>
        <w:rPr>
          <w:highlight w:val="none"/>
        </w:rPr>
        <w:instrText xml:space="preserve"> HYPERLINK "mailto:%E6%9C%AC%E7%A7%91%E7%BB%84%E8%B5%9B%E4%BA%8B%E7%BB%84%E5%A7%94%E4%BC%9A%E9%82%AE%E7%AE%B11365300699@qq.com" </w:instrText>
      </w:r>
      <w:r>
        <w:rPr>
          <w:highlight w:val="none"/>
        </w:rPr>
        <w:fldChar w:fldCharType="separate"/>
      </w:r>
      <w:r>
        <w:rPr>
          <w:rFonts w:hint="eastAsia" w:ascii="仿宋_GB2312" w:hAnsi="仿宋_GB2312" w:eastAsia="仿宋_GB2312" w:cs="仿宋_GB2312"/>
          <w:sz w:val="32"/>
          <w:szCs w:val="32"/>
          <w:highlight w:val="none"/>
        </w:rPr>
        <w:t>赛事组委会邮箱</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w:t>
      </w:r>
      <w:r>
        <w:rPr>
          <w:rFonts w:ascii="仿宋_GB2312" w:hAnsi="仿宋_GB2312" w:eastAsia="仿宋_GB2312" w:cs="仿宋_GB2312"/>
          <w:sz w:val="32"/>
          <w:szCs w:val="32"/>
          <w:highlight w:val="none"/>
        </w:rPr>
        <w:t>jgxyerp@hfuu.edu.cn</w:t>
      </w:r>
    </w:p>
    <w:p w14:paraId="600B5E16">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安徽审计职业学院</w:t>
      </w:r>
      <w:r>
        <w:rPr>
          <w:highlight w:val="none"/>
        </w:rPr>
        <w:fldChar w:fldCharType="begin"/>
      </w:r>
      <w:r>
        <w:rPr>
          <w:highlight w:val="none"/>
        </w:rPr>
        <w:instrText xml:space="preserve"> HYPERLINK "mailto:%E6%9C%AC%E7%A7%91%E7%BB%84%E8%B5%9B%E4%BA%8B%E7%BB%84%E5%A7%94%E4%BC%9A%E9%82%AE%E7%AE%B11365300699@qq.com" </w:instrText>
      </w:r>
      <w:r>
        <w:rPr>
          <w:highlight w:val="none"/>
        </w:rPr>
        <w:fldChar w:fldCharType="separate"/>
      </w:r>
      <w:r>
        <w:rPr>
          <w:rFonts w:hint="eastAsia" w:ascii="仿宋_GB2312" w:hAnsi="仿宋_GB2312" w:eastAsia="仿宋_GB2312" w:cs="仿宋_GB2312"/>
          <w:sz w:val="32"/>
          <w:szCs w:val="32"/>
          <w:highlight w:val="none"/>
        </w:rPr>
        <w:t>赛事组委会邮箱</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：gzerpzwh@qq.com</w:t>
      </w:r>
    </w:p>
    <w:p w14:paraId="61AA8B4F">
      <w:pPr>
        <w:pStyle w:val="5"/>
        <w:widowControl/>
        <w:numPr>
          <w:ilvl w:val="-1"/>
          <w:numId w:val="0"/>
        </w:numPr>
        <w:adjustRightInd w:val="0"/>
        <w:snapToGrid w:val="0"/>
        <w:spacing w:beforeAutospacing="0" w:afterAutospacing="0" w:line="560" w:lineRule="exact"/>
        <w:ind w:left="0" w:firstLine="643" w:firstLineChars="200"/>
        <w:outlineLvl w:val="1"/>
        <w:rPr>
          <w:rFonts w:hint="eastAsia" w:ascii="仿宋" w:hAnsi="仿宋" w:eastAsia="仿宋" w:cs="仿宋"/>
          <w:b/>
          <w:bCs/>
          <w:sz w:val="32"/>
          <w:szCs w:val="32"/>
          <w:shd w:val="clear" w:color="auto" w:fill="FFFFFF"/>
        </w:rPr>
      </w:pPr>
      <w:r>
        <w:rPr>
          <w:rFonts w:hint="eastAsia" w:ascii="仿宋" w:hAnsi="仿宋" w:eastAsia="仿宋" w:cs="仿宋"/>
          <w:b/>
          <w:bCs/>
          <w:sz w:val="32"/>
          <w:szCs w:val="32"/>
          <w:shd w:val="clear" w:color="auto" w:fill="FFFFFF"/>
        </w:rPr>
        <w:t>（</w:t>
      </w:r>
      <w:r>
        <w:rPr>
          <w:rFonts w:hint="eastAsia" w:ascii="仿宋" w:hAnsi="仿宋" w:eastAsia="仿宋" w:cs="仿宋"/>
          <w:b/>
          <w:bCs/>
          <w:sz w:val="32"/>
          <w:szCs w:val="32"/>
          <w:shd w:val="clear" w:color="auto" w:fill="FFFFFF"/>
          <w:lang w:val="en-US" w:eastAsia="zh-CN"/>
        </w:rPr>
        <w:t>二</w:t>
      </w:r>
      <w:r>
        <w:rPr>
          <w:rFonts w:hint="eastAsia" w:ascii="仿宋" w:hAnsi="仿宋" w:eastAsia="仿宋" w:cs="仿宋"/>
          <w:b/>
          <w:bCs/>
          <w:sz w:val="32"/>
          <w:szCs w:val="32"/>
          <w:shd w:val="clear" w:color="auto" w:fill="FFFFFF"/>
        </w:rPr>
        <w:t>）</w:t>
      </w:r>
      <w:r>
        <w:rPr>
          <w:rFonts w:ascii="仿宋" w:hAnsi="仿宋" w:eastAsia="仿宋" w:cs="仿宋"/>
          <w:b/>
          <w:bCs/>
          <w:sz w:val="32"/>
          <w:szCs w:val="32"/>
          <w:shd w:val="clear" w:color="auto" w:fill="FFFFFF"/>
        </w:rPr>
        <w:t>仲裁</w:t>
      </w:r>
    </w:p>
    <w:p w14:paraId="2A1E173A">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w:t>
      </w:r>
      <w:r>
        <w:rPr>
          <w:rFonts w:ascii="仿宋_GB2312" w:hAnsi="仿宋_GB2312" w:eastAsia="仿宋_GB2312" w:cs="仿宋_GB2312"/>
          <w:kern w:val="2"/>
          <w:sz w:val="32"/>
          <w:szCs w:val="32"/>
        </w:rPr>
        <w:t>仲裁受理与复议</w:t>
      </w:r>
    </w:p>
    <w:p w14:paraId="5E94AAB9">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大赛仲裁委员会在接到申诉报告后的</w:t>
      </w:r>
      <w:r>
        <w:rPr>
          <w:rFonts w:hint="eastAsia" w:ascii="仿宋_GB2312" w:hAnsi="仿宋_GB2312" w:eastAsia="仿宋_GB2312" w:cs="仿宋_GB2312"/>
          <w:sz w:val="32"/>
          <w:szCs w:val="32"/>
          <w:lang w:val="en-US" w:eastAsia="zh-CN"/>
        </w:rPr>
        <w:t>24</w:t>
      </w:r>
      <w:r>
        <w:rPr>
          <w:rFonts w:ascii="仿宋_GB2312" w:hAnsi="仿宋_GB2312" w:eastAsia="仿宋_GB2312" w:cs="仿宋_GB2312"/>
          <w:sz w:val="32"/>
          <w:szCs w:val="32"/>
        </w:rPr>
        <w:t>小时内组织复议，并及时将复议结果以书面形式告知申诉方。</w:t>
      </w:r>
    </w:p>
    <w:p w14:paraId="0CB00673">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w:t>
      </w:r>
      <w:r>
        <w:rPr>
          <w:rFonts w:ascii="仿宋_GB2312" w:hAnsi="仿宋_GB2312" w:eastAsia="仿宋_GB2312" w:cs="仿宋_GB2312"/>
          <w:kern w:val="2"/>
          <w:sz w:val="32"/>
          <w:szCs w:val="32"/>
        </w:rPr>
        <w:t>仲裁结果效力</w:t>
      </w:r>
    </w:p>
    <w:p w14:paraId="532E25DB">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仲裁结果为最终结果。</w:t>
      </w:r>
    </w:p>
    <w:p w14:paraId="2C63D07B">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w:t>
      </w:r>
      <w:r>
        <w:rPr>
          <w:rFonts w:ascii="仿宋_GB2312" w:hAnsi="仿宋_GB2312" w:eastAsia="仿宋_GB2312" w:cs="仿宋_GB2312"/>
          <w:kern w:val="2"/>
          <w:sz w:val="32"/>
          <w:szCs w:val="32"/>
        </w:rPr>
        <w:t>结果签收与约束</w:t>
      </w:r>
    </w:p>
    <w:p w14:paraId="6AAABF22">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仲裁结果由申诉人本人签收，不能代收。</w:t>
      </w:r>
    </w:p>
    <w:p w14:paraId="4C89AB15">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如在约定时间申诉人未予回应，视为自行放弃申诉。</w:t>
      </w:r>
    </w:p>
    <w:p w14:paraId="5A02A3E0">
      <w:pPr>
        <w:pStyle w:val="5"/>
        <w:keepNext w:val="0"/>
        <w:keepLines w:val="0"/>
        <w:pageBreakBefore w:val="0"/>
        <w:widowControl/>
        <w:kinsoku/>
        <w:wordWrap/>
        <w:overflowPunct/>
        <w:topLinePunct w:val="0"/>
        <w:autoSpaceDE/>
        <w:autoSpaceDN/>
        <w:bidi w:val="0"/>
        <w:adjustRightInd w:val="0"/>
        <w:snapToGrid w:val="0"/>
        <w:spacing w:beforeAutospacing="0" w:afterAutospacing="0" w:line="560" w:lineRule="exact"/>
        <w:ind w:firstLine="640" w:firstLineChars="200"/>
        <w:textAlignment w:val="auto"/>
        <w:outlineLvl w:val="2"/>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w:t>
      </w:r>
      <w:r>
        <w:rPr>
          <w:rFonts w:ascii="仿宋_GB2312" w:hAnsi="仿宋_GB2312" w:eastAsia="仿宋_GB2312" w:cs="仿宋_GB2312"/>
          <w:kern w:val="2"/>
          <w:sz w:val="32"/>
          <w:szCs w:val="32"/>
        </w:rPr>
        <w:t>行为约束</w:t>
      </w:r>
    </w:p>
    <w:p w14:paraId="053B0BD2">
      <w:pPr>
        <w:keepNext w:val="0"/>
        <w:keepLines w:val="0"/>
        <w:pageBreakBefore w:val="0"/>
        <w:shd w:val="clear" w:color="auto" w:fill="FFFFFF"/>
        <w:kinsoku/>
        <w:wordWrap/>
        <w:overflowPunct/>
        <w:topLinePunct w:val="0"/>
        <w:autoSpaceDE/>
        <w:autoSpaceDN/>
        <w:bidi w:val="0"/>
        <w:adjustRightInd w:val="0"/>
        <w:snapToGrid w:val="0"/>
        <w:spacing w:line="560" w:lineRule="exact"/>
        <w:ind w:firstLine="640" w:firstLineChars="200"/>
        <w:textAlignment w:val="auto"/>
      </w:pPr>
      <w:r>
        <w:rPr>
          <w:rFonts w:ascii="仿宋_GB2312" w:hAnsi="仿宋_GB2312" w:eastAsia="仿宋_GB2312" w:cs="仿宋_GB2312"/>
          <w:sz w:val="32"/>
          <w:szCs w:val="32"/>
        </w:rPr>
        <w:t>申诉方不得以任何理由拒绝接收仲裁结果，不得以任何理由采取过激行为扰乱赛场秩序、诋毁比赛或发表不恰当的言论。</w:t>
      </w:r>
    </w:p>
    <w:p w14:paraId="2070FF46">
      <w:pPr>
        <w:widowControl/>
        <w:numPr>
          <w:ilvl w:val="0"/>
          <w:numId w:val="2"/>
        </w:numPr>
        <w:adjustRightInd w:val="0"/>
        <w:snapToGrid w:val="0"/>
        <w:spacing w:line="560" w:lineRule="exact"/>
        <w:ind w:firstLine="640" w:firstLineChars="200"/>
        <w:jc w:val="left"/>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竞赛宣传</w:t>
      </w:r>
    </w:p>
    <w:p w14:paraId="4D77E45F">
      <w:pPr>
        <w:shd w:val="clear" w:color="auto" w:fill="FFFFFF"/>
        <w:adjustRightInd w:val="0"/>
        <w:snapToGrid w:val="0"/>
        <w:spacing w:line="560" w:lineRule="exact"/>
        <w:ind w:firstLine="640" w:firstLineChars="200"/>
      </w:pPr>
      <w:r>
        <w:rPr>
          <w:rFonts w:ascii="仿宋_GB2312" w:hAnsi="仿宋_GB2312" w:eastAsia="仿宋_GB2312" w:cs="仿宋_GB2312"/>
          <w:sz w:val="32"/>
          <w:szCs w:val="32"/>
        </w:rPr>
        <w:t>竞赛宣传采用“线上+线下”相结合的方式，依托学院官网、微信公众号、班级群等渠道发布赛事通知与报名信息，同步制作宣传海报及推文进行多轮推送。赛前组织宣讲会，确保参赛学生充分了解赛事规则与要求，并通过建立咨询群及时答疑，动员符合条件的团队积极报名。</w:t>
      </w:r>
    </w:p>
    <w:p w14:paraId="74EB742C">
      <w:pPr>
        <w:widowControl/>
        <w:shd w:val="clear" w:color="auto" w:fill="FFFFFF"/>
        <w:adjustRightInd w:val="0"/>
        <w:snapToGrid w:val="0"/>
        <w:spacing w:line="560" w:lineRule="exact"/>
        <w:ind w:firstLine="640" w:firstLineChars="200"/>
        <w:jc w:val="left"/>
        <w:rPr>
          <w:rFonts w:hint="eastAsia" w:ascii="黑体" w:hAnsi="黑体" w:eastAsia="黑体" w:cs="黑体"/>
          <w:kern w:val="0"/>
          <w:sz w:val="32"/>
          <w:szCs w:val="32"/>
          <w:shd w:val="clear" w:color="auto" w:fill="FFFFFF"/>
          <w:lang w:bidi="ar"/>
        </w:rPr>
      </w:pPr>
      <w:r>
        <w:rPr>
          <w:rFonts w:hint="eastAsia" w:ascii="黑体" w:hAnsi="黑体" w:eastAsia="黑体" w:cs="黑体"/>
          <w:kern w:val="0"/>
          <w:sz w:val="32"/>
          <w:szCs w:val="32"/>
          <w:shd w:val="clear" w:color="auto" w:fill="FFFFFF"/>
          <w:lang w:bidi="ar"/>
        </w:rPr>
        <w:t>十四、联系方式</w:t>
      </w:r>
    </w:p>
    <w:p w14:paraId="2CC85338">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为促进选手交流，提高团队的整体水平，以及及时公布赛事讯息，</w:t>
      </w:r>
      <w:r>
        <w:rPr>
          <w:rFonts w:hint="eastAsia" w:ascii="仿宋_GB2312" w:hAnsi="仿宋_GB2312" w:eastAsia="仿宋_GB2312" w:cs="仿宋_GB2312"/>
          <w:sz w:val="32"/>
          <w:szCs w:val="32"/>
          <w:highlight w:val="none"/>
        </w:rPr>
        <w:t>保证大赛的顺利进行，大赛设QQ沟通群（</w:t>
      </w:r>
      <w:r>
        <w:rPr>
          <w:rFonts w:hint="eastAsia" w:ascii="仿宋_GB2312" w:hAnsi="仿宋_GB2312" w:eastAsia="仿宋_GB2312" w:cs="仿宋_GB2312"/>
          <w:sz w:val="32"/>
          <w:szCs w:val="32"/>
          <w:highlight w:val="none"/>
          <w:lang w:val="en-US" w:eastAsia="zh-CN"/>
        </w:rPr>
        <w:t>本科院校</w:t>
      </w:r>
      <w:r>
        <w:rPr>
          <w:rFonts w:hint="eastAsia" w:ascii="仿宋_GB2312" w:hAnsi="仿宋_GB2312" w:eastAsia="仿宋_GB2312" w:cs="仿宋_GB2312"/>
          <w:sz w:val="32"/>
          <w:szCs w:val="32"/>
          <w:highlight w:val="none"/>
        </w:rPr>
        <w:t>负责人沟通群：1103324203；高职</w:t>
      </w:r>
      <w:r>
        <w:rPr>
          <w:rFonts w:hint="eastAsia" w:ascii="仿宋_GB2312" w:hAnsi="仿宋_GB2312" w:eastAsia="仿宋_GB2312" w:cs="仿宋_GB2312"/>
          <w:sz w:val="32"/>
          <w:szCs w:val="32"/>
          <w:highlight w:val="none"/>
          <w:lang w:val="en-US" w:eastAsia="zh-CN"/>
        </w:rPr>
        <w:t>院校</w:t>
      </w:r>
      <w:r>
        <w:rPr>
          <w:rFonts w:hint="eastAsia" w:ascii="仿宋_GB2312" w:hAnsi="仿宋_GB2312" w:eastAsia="仿宋_GB2312" w:cs="仿宋_GB2312"/>
          <w:sz w:val="32"/>
          <w:szCs w:val="32"/>
          <w:highlight w:val="none"/>
        </w:rPr>
        <w:t>负责人沟通群：</w:t>
      </w:r>
      <w:r>
        <w:rPr>
          <w:rFonts w:hint="eastAsia" w:ascii="仿宋_GB2312" w:hAnsi="仿宋_GB2312" w:eastAsia="仿宋_GB2312" w:cs="仿宋_GB2312"/>
          <w:sz w:val="32"/>
          <w:szCs w:val="32"/>
          <w:highlight w:val="none"/>
          <w:lang w:val="en-US" w:eastAsia="zh-CN"/>
        </w:rPr>
        <w:t>691650518</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rPr>
        <w:t>赛前的重要通知、文件及其他有关事项将在群中及时发布。请</w:t>
      </w:r>
      <w:r>
        <w:rPr>
          <w:rFonts w:hint="eastAsia" w:ascii="仿宋_GB2312" w:hAnsi="仿宋_GB2312" w:eastAsia="仿宋_GB2312" w:cs="仿宋_GB2312"/>
          <w:sz w:val="32"/>
          <w:szCs w:val="32"/>
          <w:lang w:eastAsia="zh-CN"/>
        </w:rPr>
        <w:t>各</w:t>
      </w:r>
      <w:r>
        <w:rPr>
          <w:rFonts w:hint="eastAsia" w:ascii="仿宋_GB2312" w:hAnsi="仿宋_GB2312" w:eastAsia="仿宋_GB2312" w:cs="仿宋_GB2312"/>
          <w:sz w:val="32"/>
          <w:szCs w:val="32"/>
          <w:lang w:val="en-US" w:eastAsia="zh-CN"/>
        </w:rPr>
        <w:t>参赛</w:t>
      </w:r>
      <w:r>
        <w:rPr>
          <w:rFonts w:hint="eastAsia" w:ascii="仿宋_GB2312" w:hAnsi="仿宋_GB2312" w:eastAsia="仿宋_GB2312" w:cs="仿宋_GB2312"/>
          <w:sz w:val="32"/>
          <w:szCs w:val="32"/>
        </w:rPr>
        <w:t>院校确定1位安徽省大学生ERP数智化运营大赛</w:t>
      </w:r>
      <w:r>
        <w:rPr>
          <w:rFonts w:hint="eastAsia" w:ascii="仿宋_GB2312" w:hAnsi="仿宋_GB2312" w:eastAsia="仿宋_GB2312" w:cs="仿宋_GB2312"/>
          <w:sz w:val="32"/>
          <w:szCs w:val="32"/>
          <w:lang w:val="en-US" w:eastAsia="zh-CN"/>
        </w:rPr>
        <w:t>院校</w:t>
      </w:r>
      <w:r>
        <w:rPr>
          <w:rFonts w:hint="eastAsia" w:ascii="仿宋_GB2312" w:hAnsi="仿宋_GB2312" w:eastAsia="仿宋_GB2312" w:cs="仿宋_GB2312"/>
          <w:sz w:val="32"/>
          <w:szCs w:val="32"/>
        </w:rPr>
        <w:t>负责人加入负责人沟通群</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进群请按照院校+真实姓名的格式实名制进群，便于赛事工作的沟通和交流。</w:t>
      </w:r>
    </w:p>
    <w:p w14:paraId="3DA58D2D">
      <w:pPr>
        <w:shd w:val="clear" w:color="auto" w:fill="FFFFFF"/>
        <w:adjustRightInd w:val="0"/>
        <w:snapToGrid w:val="0"/>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合肥大学</w:t>
      </w:r>
      <w:r>
        <w:rPr>
          <w:rFonts w:ascii="仿宋_GB2312" w:hAnsi="仿宋_GB2312" w:eastAsia="仿宋_GB2312" w:cs="仿宋_GB2312"/>
          <w:sz w:val="32"/>
          <w:szCs w:val="32"/>
        </w:rPr>
        <w:t>联系人：</w:t>
      </w:r>
    </w:p>
    <w:p w14:paraId="0D8A571A">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杜宇：0551-62159347；</w:t>
      </w:r>
    </w:p>
    <w:p w14:paraId="47BB3B4B">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方亚平：</w:t>
      </w:r>
      <w:r>
        <w:rPr>
          <w:rFonts w:hint="eastAsia" w:ascii="仿宋_GB2312" w:hAnsi="仿宋_GB2312" w:eastAsia="仿宋_GB2312" w:cs="仿宋_GB2312"/>
          <w:sz w:val="32"/>
          <w:szCs w:val="32"/>
          <w:highlight w:val="none"/>
        </w:rPr>
        <w:t>0551-6215934</w:t>
      </w:r>
      <w:r>
        <w:rPr>
          <w:rFonts w:ascii="仿宋_GB2312" w:hAnsi="仿宋_GB2312" w:eastAsia="仿宋_GB2312" w:cs="仿宋_GB2312"/>
          <w:sz w:val="32"/>
          <w:szCs w:val="32"/>
          <w:highlight w:val="none"/>
        </w:rPr>
        <w:t>9</w:t>
      </w:r>
      <w:r>
        <w:rPr>
          <w:rFonts w:hint="eastAsia" w:ascii="仿宋_GB2312" w:hAnsi="仿宋_GB2312" w:eastAsia="仿宋_GB2312" w:cs="仿宋_GB2312"/>
          <w:sz w:val="32"/>
          <w:szCs w:val="32"/>
          <w:lang w:val="en-US" w:eastAsia="zh-CN"/>
        </w:rPr>
        <w:t>；</w:t>
      </w:r>
    </w:p>
    <w:p w14:paraId="7CDB8261">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lang w:eastAsia="zh-CN"/>
        </w:rPr>
      </w:pPr>
      <w:r>
        <w:rPr>
          <w:rFonts w:ascii="仿宋_GB2312" w:hAnsi="仿宋_GB2312" w:eastAsia="仿宋_GB2312" w:cs="仿宋_GB2312"/>
          <w:sz w:val="32"/>
          <w:szCs w:val="32"/>
        </w:rPr>
        <w:t>赛事组委会邮箱</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jgxyerp@hfuu.edu.cn</w:t>
      </w:r>
      <w:r>
        <w:rPr>
          <w:rFonts w:hint="eastAsia" w:ascii="仿宋_GB2312" w:hAnsi="仿宋_GB2312" w:eastAsia="仿宋_GB2312" w:cs="仿宋_GB2312"/>
          <w:sz w:val="32"/>
          <w:szCs w:val="32"/>
          <w:lang w:eastAsia="zh-CN"/>
        </w:rPr>
        <w:t>。</w:t>
      </w:r>
    </w:p>
    <w:p w14:paraId="03787929">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安徽审计职业学院</w:t>
      </w:r>
      <w:r>
        <w:rPr>
          <w:rFonts w:ascii="仿宋_GB2312" w:hAnsi="仿宋_GB2312" w:eastAsia="仿宋_GB2312" w:cs="仿宋_GB2312"/>
          <w:sz w:val="32"/>
          <w:szCs w:val="32"/>
        </w:rPr>
        <w:t>联系人：</w:t>
      </w:r>
    </w:p>
    <w:p w14:paraId="097EF07A">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万启生</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0551-63617017</w:t>
      </w:r>
      <w:r>
        <w:rPr>
          <w:rFonts w:hint="eastAsia" w:ascii="仿宋_GB2312" w:hAnsi="仿宋_GB2312" w:eastAsia="仿宋_GB2312" w:cs="仿宋_GB2312"/>
          <w:sz w:val="32"/>
          <w:szCs w:val="32"/>
          <w:lang w:eastAsia="zh-CN"/>
        </w:rPr>
        <w:t>；</w:t>
      </w:r>
    </w:p>
    <w:p w14:paraId="0B023960">
      <w:pPr>
        <w:shd w:val="clear" w:color="auto" w:fill="FFFFFF"/>
        <w:adjustRightInd w:val="0"/>
        <w:snapToGrid w:val="0"/>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沈宇钦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0551-63617165</w:t>
      </w:r>
      <w:r>
        <w:rPr>
          <w:rFonts w:hint="eastAsia" w:ascii="仿宋_GB2312" w:hAnsi="仿宋_GB2312" w:eastAsia="仿宋_GB2312" w:cs="仿宋_GB2312"/>
          <w:sz w:val="32"/>
          <w:szCs w:val="32"/>
          <w:lang w:eastAsia="zh-CN"/>
        </w:rPr>
        <w:t>；</w:t>
      </w:r>
    </w:p>
    <w:p w14:paraId="2EE47E49">
      <w:pPr>
        <w:pStyle w:val="5"/>
        <w:keepNext w:val="0"/>
        <w:keepLines w:val="0"/>
        <w:pageBreakBefore w:val="0"/>
        <w:widowControl/>
        <w:numPr>
          <w:ilvl w:val="0"/>
          <w:numId w:val="0"/>
        </w:numPr>
        <w:kinsoku/>
        <w:wordWrap/>
        <w:overflowPunct/>
        <w:topLinePunct w:val="0"/>
        <w:autoSpaceDE/>
        <w:autoSpaceDN/>
        <w:bidi w:val="0"/>
        <w:adjustRightInd w:val="0"/>
        <w:snapToGrid w:val="0"/>
        <w:spacing w:beforeAutospacing="0" w:afterAutospacing="0" w:line="560" w:lineRule="exact"/>
        <w:ind w:firstLine="600" w:firstLineChars="250"/>
        <w:textAlignment w:val="auto"/>
        <w:outlineLvl w:val="2"/>
        <w:rPr>
          <w:rFonts w:hint="eastAsia" w:ascii="仿宋_GB2312" w:hAnsi="仿宋_GB2312" w:eastAsia="仿宋_GB2312" w:cs="仿宋_GB2312"/>
          <w:sz w:val="32"/>
          <w:szCs w:val="32"/>
          <w:lang w:eastAsia="zh-CN"/>
        </w:rPr>
      </w:pPr>
      <w:r>
        <w:fldChar w:fldCharType="begin"/>
      </w:r>
      <w:r>
        <w:instrText xml:space="preserve"> HYPERLINK "mailto:%E6%9C%AC%E7%A7%91%E7%BB%84%E8%B5%9B%E4%BA%8B%E7%BB%84%E5%A7%94%E4%BC%9A%E9%82%AE%E7%AE%B11365300699@qq.com" </w:instrText>
      </w:r>
      <w:r>
        <w:fldChar w:fldCharType="separate"/>
      </w:r>
      <w:r>
        <w:rPr>
          <w:rFonts w:hint="eastAsia" w:ascii="仿宋_GB2312" w:hAnsi="仿宋_GB2312" w:eastAsia="仿宋_GB2312" w:cs="仿宋_GB2312"/>
          <w:sz w:val="32"/>
          <w:szCs w:val="32"/>
        </w:rPr>
        <w:t>赛事组委会邮箱</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t>：gzerpzwh@qq.com</w:t>
      </w:r>
    </w:p>
    <w:p w14:paraId="08454A9F">
      <w:pPr>
        <w:shd w:val="clear" w:color="auto" w:fill="FFFFFF"/>
        <w:adjustRightInd w:val="0"/>
        <w:snapToGrid w:val="0"/>
        <w:spacing w:line="560" w:lineRule="exact"/>
        <w:ind w:firstLine="0"/>
        <w:rPr>
          <w:rFonts w:ascii="仿宋_GB2312" w:hAnsi="仿宋_GB2312" w:eastAsia="仿宋_GB2312" w:cs="仿宋_GB2312"/>
          <w:sz w:val="32"/>
          <w:szCs w:val="32"/>
        </w:rPr>
      </w:pPr>
      <w:r>
        <w:rPr>
          <w:rFonts w:hint="eastAsia" w:ascii="仿宋_GB2312" w:hAnsi="仿宋_GB2312" w:eastAsia="仿宋_GB2312" w:cs="仿宋_GB2312"/>
          <w:sz w:val="32"/>
          <w:szCs w:val="32"/>
        </w:rPr>
        <w:t>以上未尽事宜，解释权及修改权归大赛组委会所有。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B631352-3A4B-458D-942C-E43F7CC46C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01C360C6-A661-4F16-A054-F2E7E424EFF7}"/>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embedRegular r:id="rId3" w:fontKey="{DE36E61B-B3DA-45A4-A755-A5579D43E36D}"/>
  </w:font>
  <w:font w:name="方正小标宋简体">
    <w:panose1 w:val="03000509000000000000"/>
    <w:charset w:val="86"/>
    <w:family w:val="auto"/>
    <w:pitch w:val="default"/>
    <w:sig w:usb0="00000001" w:usb1="080E0000" w:usb2="00000000" w:usb3="00000000" w:csb0="00040000" w:csb1="00000000"/>
    <w:embedRegular r:id="rId4" w:fontKey="{8E3E8ED2-2AF2-4F28-8BD3-52F719800641}"/>
  </w:font>
  <w:font w:name="微软雅黑">
    <w:panose1 w:val="020B0503020204020204"/>
    <w:charset w:val="86"/>
    <w:family w:val="swiss"/>
    <w:pitch w:val="default"/>
    <w:sig w:usb0="80000287" w:usb1="2ACF3C50" w:usb2="00000016" w:usb3="00000000" w:csb0="0004001F" w:csb1="00000000"/>
    <w:embedRegular r:id="rId5" w:fontKey="{12F98EEC-3BDC-4ED0-9B6C-CC7626D89734}"/>
  </w:font>
  <w:font w:name="Microsoft YaHei UI">
    <w:panose1 w:val="020B0503020204020204"/>
    <w:charset w:val="86"/>
    <w:family w:val="swiss"/>
    <w:pitch w:val="default"/>
    <w:sig w:usb0="80000287" w:usb1="2ACF3C50" w:usb2="00000016" w:usb3="00000000" w:csb0="0004001F" w:csb1="00000000"/>
    <w:embedRegular r:id="rId6" w:fontKey="{54839B0E-70B6-4F67-8E11-C9EC3B18AD20}"/>
  </w:font>
  <w:font w:name="WPSEMBED2">
    <w:panose1 w:val="03000509000000000000"/>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5C6438"/>
    <w:multiLevelType w:val="singleLevel"/>
    <w:tmpl w:val="B85C6438"/>
    <w:lvl w:ilvl="0" w:tentative="0">
      <w:start w:val="8"/>
      <w:numFmt w:val="chineseCounting"/>
      <w:suff w:val="nothing"/>
      <w:lvlText w:val="%1、"/>
      <w:lvlJc w:val="left"/>
      <w:rPr>
        <w:rFonts w:hint="eastAsia"/>
      </w:rPr>
    </w:lvl>
  </w:abstractNum>
  <w:abstractNum w:abstractNumId="1">
    <w:nsid w:val="D6F7FB44"/>
    <w:multiLevelType w:val="singleLevel"/>
    <w:tmpl w:val="D6F7FB44"/>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E1YjY4YzJlYmM1N2Y1MDYyY2Y1OTI1OTlmYTMwYjMifQ=="/>
  </w:docVars>
  <w:rsids>
    <w:rsidRoot w:val="00823FE8"/>
    <w:rsid w:val="00003A0C"/>
    <w:rsid w:val="00077CAE"/>
    <w:rsid w:val="0010681B"/>
    <w:rsid w:val="0016176A"/>
    <w:rsid w:val="001B1BBC"/>
    <w:rsid w:val="00295E7C"/>
    <w:rsid w:val="00333A38"/>
    <w:rsid w:val="003431FE"/>
    <w:rsid w:val="00532E9A"/>
    <w:rsid w:val="00575F72"/>
    <w:rsid w:val="00613882"/>
    <w:rsid w:val="006830D8"/>
    <w:rsid w:val="00715426"/>
    <w:rsid w:val="007822B1"/>
    <w:rsid w:val="007D6D62"/>
    <w:rsid w:val="00823FE8"/>
    <w:rsid w:val="008716D3"/>
    <w:rsid w:val="00875EE4"/>
    <w:rsid w:val="008F6805"/>
    <w:rsid w:val="0095604A"/>
    <w:rsid w:val="00A03645"/>
    <w:rsid w:val="00B075E0"/>
    <w:rsid w:val="00B27DB9"/>
    <w:rsid w:val="00CC3280"/>
    <w:rsid w:val="00CE3674"/>
    <w:rsid w:val="00D324BE"/>
    <w:rsid w:val="00EA45DF"/>
    <w:rsid w:val="00EC5DFF"/>
    <w:rsid w:val="00F8255E"/>
    <w:rsid w:val="00FA4A51"/>
    <w:rsid w:val="020436FA"/>
    <w:rsid w:val="0241242E"/>
    <w:rsid w:val="02516A62"/>
    <w:rsid w:val="026747BD"/>
    <w:rsid w:val="02DB242E"/>
    <w:rsid w:val="03393CA4"/>
    <w:rsid w:val="03456EEA"/>
    <w:rsid w:val="035B3DB9"/>
    <w:rsid w:val="03BB21D9"/>
    <w:rsid w:val="03C350C4"/>
    <w:rsid w:val="045D2E23"/>
    <w:rsid w:val="04814D63"/>
    <w:rsid w:val="04C256F2"/>
    <w:rsid w:val="0574773F"/>
    <w:rsid w:val="062F07EF"/>
    <w:rsid w:val="063A78C0"/>
    <w:rsid w:val="069A65B0"/>
    <w:rsid w:val="06C54CB0"/>
    <w:rsid w:val="07097292"/>
    <w:rsid w:val="076A28C3"/>
    <w:rsid w:val="07936D57"/>
    <w:rsid w:val="07E6469F"/>
    <w:rsid w:val="08610146"/>
    <w:rsid w:val="08FA1862"/>
    <w:rsid w:val="0935598B"/>
    <w:rsid w:val="098C163D"/>
    <w:rsid w:val="09AD0696"/>
    <w:rsid w:val="0BF24799"/>
    <w:rsid w:val="0C2B3807"/>
    <w:rsid w:val="0C364685"/>
    <w:rsid w:val="0C566AD6"/>
    <w:rsid w:val="0C981B18"/>
    <w:rsid w:val="0E8326A4"/>
    <w:rsid w:val="0EF56A7A"/>
    <w:rsid w:val="0F36499C"/>
    <w:rsid w:val="0FB81E70"/>
    <w:rsid w:val="0FD71E52"/>
    <w:rsid w:val="0FF52AA9"/>
    <w:rsid w:val="100C7E2C"/>
    <w:rsid w:val="103F0C13"/>
    <w:rsid w:val="10FB57C6"/>
    <w:rsid w:val="110E5BD1"/>
    <w:rsid w:val="11517B3E"/>
    <w:rsid w:val="11CD06B9"/>
    <w:rsid w:val="12624518"/>
    <w:rsid w:val="12B02035"/>
    <w:rsid w:val="13605BDE"/>
    <w:rsid w:val="139C4BA9"/>
    <w:rsid w:val="16152DEC"/>
    <w:rsid w:val="162D716D"/>
    <w:rsid w:val="16392EBF"/>
    <w:rsid w:val="16420C51"/>
    <w:rsid w:val="167656FD"/>
    <w:rsid w:val="17920BDE"/>
    <w:rsid w:val="18BF1EA7"/>
    <w:rsid w:val="18E30B32"/>
    <w:rsid w:val="1AF03371"/>
    <w:rsid w:val="1B793BA7"/>
    <w:rsid w:val="1BBF3662"/>
    <w:rsid w:val="1C1B3898"/>
    <w:rsid w:val="1C860706"/>
    <w:rsid w:val="1CCA3D1E"/>
    <w:rsid w:val="1CFD4445"/>
    <w:rsid w:val="1D6F2F62"/>
    <w:rsid w:val="1F643D0D"/>
    <w:rsid w:val="1FA0658E"/>
    <w:rsid w:val="1FCC600D"/>
    <w:rsid w:val="1FF365E3"/>
    <w:rsid w:val="20097E44"/>
    <w:rsid w:val="20282B52"/>
    <w:rsid w:val="20355EF4"/>
    <w:rsid w:val="206375BB"/>
    <w:rsid w:val="2084558F"/>
    <w:rsid w:val="208B4267"/>
    <w:rsid w:val="21ED1832"/>
    <w:rsid w:val="21F8706C"/>
    <w:rsid w:val="22B429FB"/>
    <w:rsid w:val="22CC49F4"/>
    <w:rsid w:val="23F6784B"/>
    <w:rsid w:val="246456B0"/>
    <w:rsid w:val="249016E6"/>
    <w:rsid w:val="25D33A65"/>
    <w:rsid w:val="25DF10AE"/>
    <w:rsid w:val="26431956"/>
    <w:rsid w:val="264A0550"/>
    <w:rsid w:val="267F42C7"/>
    <w:rsid w:val="269E759F"/>
    <w:rsid w:val="26D9142C"/>
    <w:rsid w:val="273D7068"/>
    <w:rsid w:val="287C6359"/>
    <w:rsid w:val="29541522"/>
    <w:rsid w:val="299023C6"/>
    <w:rsid w:val="29ED6EA3"/>
    <w:rsid w:val="2AA90D02"/>
    <w:rsid w:val="2B6A19C9"/>
    <w:rsid w:val="2B8444AA"/>
    <w:rsid w:val="2C117794"/>
    <w:rsid w:val="2CC6515A"/>
    <w:rsid w:val="2D4F33A1"/>
    <w:rsid w:val="2D6642A6"/>
    <w:rsid w:val="2D6D7CCB"/>
    <w:rsid w:val="2D8D27D5"/>
    <w:rsid w:val="2EDF0BF9"/>
    <w:rsid w:val="2F2B0478"/>
    <w:rsid w:val="2F395375"/>
    <w:rsid w:val="2F436F36"/>
    <w:rsid w:val="2F4B5DEA"/>
    <w:rsid w:val="2F8758D1"/>
    <w:rsid w:val="2FF426C3"/>
    <w:rsid w:val="2FFF0FB6"/>
    <w:rsid w:val="317D7B68"/>
    <w:rsid w:val="324E00CB"/>
    <w:rsid w:val="32B37F2E"/>
    <w:rsid w:val="33082597"/>
    <w:rsid w:val="33D97E69"/>
    <w:rsid w:val="354D6564"/>
    <w:rsid w:val="35664722"/>
    <w:rsid w:val="364F18A8"/>
    <w:rsid w:val="36F8344F"/>
    <w:rsid w:val="3701671F"/>
    <w:rsid w:val="379854B1"/>
    <w:rsid w:val="38550CF9"/>
    <w:rsid w:val="387A7688"/>
    <w:rsid w:val="38EC3C9B"/>
    <w:rsid w:val="3A3B7894"/>
    <w:rsid w:val="3A77118B"/>
    <w:rsid w:val="3BB05953"/>
    <w:rsid w:val="3D0D04B9"/>
    <w:rsid w:val="3E442D07"/>
    <w:rsid w:val="3E672DE5"/>
    <w:rsid w:val="3E7A2248"/>
    <w:rsid w:val="3E83433A"/>
    <w:rsid w:val="3ED4486E"/>
    <w:rsid w:val="3F3FF00E"/>
    <w:rsid w:val="3F4A6541"/>
    <w:rsid w:val="3F55F41B"/>
    <w:rsid w:val="3FFCC090"/>
    <w:rsid w:val="403768E5"/>
    <w:rsid w:val="406B1A44"/>
    <w:rsid w:val="41073A1F"/>
    <w:rsid w:val="411617D6"/>
    <w:rsid w:val="419453CF"/>
    <w:rsid w:val="43E91A02"/>
    <w:rsid w:val="45C53562"/>
    <w:rsid w:val="45E17AED"/>
    <w:rsid w:val="45EC7588"/>
    <w:rsid w:val="46571E12"/>
    <w:rsid w:val="4667182B"/>
    <w:rsid w:val="468E6050"/>
    <w:rsid w:val="46AC5600"/>
    <w:rsid w:val="473645A0"/>
    <w:rsid w:val="475303D3"/>
    <w:rsid w:val="47DE63B3"/>
    <w:rsid w:val="488C4626"/>
    <w:rsid w:val="48AA1E72"/>
    <w:rsid w:val="48DC4439"/>
    <w:rsid w:val="49092D04"/>
    <w:rsid w:val="49DC7913"/>
    <w:rsid w:val="4AEE0EBC"/>
    <w:rsid w:val="4B0233A9"/>
    <w:rsid w:val="4B3D2633"/>
    <w:rsid w:val="4BB02E05"/>
    <w:rsid w:val="4DAE5A6A"/>
    <w:rsid w:val="4DCA7004"/>
    <w:rsid w:val="4E2646EA"/>
    <w:rsid w:val="4E712D20"/>
    <w:rsid w:val="4F8B6063"/>
    <w:rsid w:val="50070C2F"/>
    <w:rsid w:val="506765BF"/>
    <w:rsid w:val="50D43E40"/>
    <w:rsid w:val="52394EE7"/>
    <w:rsid w:val="5352679A"/>
    <w:rsid w:val="5359464E"/>
    <w:rsid w:val="53800565"/>
    <w:rsid w:val="544A2D9F"/>
    <w:rsid w:val="54D7233D"/>
    <w:rsid w:val="557F093B"/>
    <w:rsid w:val="56764E0B"/>
    <w:rsid w:val="56DB78D0"/>
    <w:rsid w:val="579A6BB1"/>
    <w:rsid w:val="580D20AF"/>
    <w:rsid w:val="58C12AF6"/>
    <w:rsid w:val="597D0BDA"/>
    <w:rsid w:val="59A33FA9"/>
    <w:rsid w:val="5A325AE5"/>
    <w:rsid w:val="5A54074B"/>
    <w:rsid w:val="5B7E2F26"/>
    <w:rsid w:val="5C1A497B"/>
    <w:rsid w:val="5C6F40F8"/>
    <w:rsid w:val="5C8210D4"/>
    <w:rsid w:val="5D2A6D77"/>
    <w:rsid w:val="5D5F5CF1"/>
    <w:rsid w:val="5D786A92"/>
    <w:rsid w:val="5D873CCE"/>
    <w:rsid w:val="5DA60D36"/>
    <w:rsid w:val="5E420235"/>
    <w:rsid w:val="5EBA6E39"/>
    <w:rsid w:val="5EE7CDF4"/>
    <w:rsid w:val="5F020C64"/>
    <w:rsid w:val="5FCD1D80"/>
    <w:rsid w:val="5FD92C57"/>
    <w:rsid w:val="5FE00DB4"/>
    <w:rsid w:val="618647BD"/>
    <w:rsid w:val="62754BF0"/>
    <w:rsid w:val="62BB4881"/>
    <w:rsid w:val="632B7B8E"/>
    <w:rsid w:val="632C4B23"/>
    <w:rsid w:val="639F57E1"/>
    <w:rsid w:val="644663E9"/>
    <w:rsid w:val="64933702"/>
    <w:rsid w:val="656E0241"/>
    <w:rsid w:val="65F23162"/>
    <w:rsid w:val="66310536"/>
    <w:rsid w:val="66343591"/>
    <w:rsid w:val="663E515C"/>
    <w:rsid w:val="664834BA"/>
    <w:rsid w:val="666E5281"/>
    <w:rsid w:val="667061E1"/>
    <w:rsid w:val="668A19DC"/>
    <w:rsid w:val="66CC2611"/>
    <w:rsid w:val="66E25DA3"/>
    <w:rsid w:val="66F1C965"/>
    <w:rsid w:val="670B048A"/>
    <w:rsid w:val="67386679"/>
    <w:rsid w:val="67EA6A44"/>
    <w:rsid w:val="683F73B3"/>
    <w:rsid w:val="684B03AB"/>
    <w:rsid w:val="68C161FA"/>
    <w:rsid w:val="69931E41"/>
    <w:rsid w:val="69E94716"/>
    <w:rsid w:val="6A0E4705"/>
    <w:rsid w:val="6B086362"/>
    <w:rsid w:val="6B364A70"/>
    <w:rsid w:val="6BF52213"/>
    <w:rsid w:val="6C493E0D"/>
    <w:rsid w:val="6C7E64E4"/>
    <w:rsid w:val="6D090170"/>
    <w:rsid w:val="6D5E317C"/>
    <w:rsid w:val="6DDE33AA"/>
    <w:rsid w:val="6E341855"/>
    <w:rsid w:val="6E580E15"/>
    <w:rsid w:val="6EAC6A24"/>
    <w:rsid w:val="6EC14FC1"/>
    <w:rsid w:val="6ED15CEF"/>
    <w:rsid w:val="6F523299"/>
    <w:rsid w:val="6F7E041A"/>
    <w:rsid w:val="6F9B2DB2"/>
    <w:rsid w:val="6F9F4005"/>
    <w:rsid w:val="6FBB2BF0"/>
    <w:rsid w:val="706701B3"/>
    <w:rsid w:val="70AD6293"/>
    <w:rsid w:val="715F5091"/>
    <w:rsid w:val="716F9005"/>
    <w:rsid w:val="71BF242C"/>
    <w:rsid w:val="72982E82"/>
    <w:rsid w:val="72A6316E"/>
    <w:rsid w:val="72D90CC3"/>
    <w:rsid w:val="73166260"/>
    <w:rsid w:val="739D4628"/>
    <w:rsid w:val="73A25E44"/>
    <w:rsid w:val="74B12706"/>
    <w:rsid w:val="75A37343"/>
    <w:rsid w:val="75A51A61"/>
    <w:rsid w:val="764C0B96"/>
    <w:rsid w:val="76DA3B4F"/>
    <w:rsid w:val="76F24B43"/>
    <w:rsid w:val="77BD7908"/>
    <w:rsid w:val="77F12FB3"/>
    <w:rsid w:val="782146A4"/>
    <w:rsid w:val="78E7D5C5"/>
    <w:rsid w:val="78EF49D9"/>
    <w:rsid w:val="7975087C"/>
    <w:rsid w:val="79FE1239"/>
    <w:rsid w:val="7A9C2623"/>
    <w:rsid w:val="7B6E49AE"/>
    <w:rsid w:val="7B7EAABD"/>
    <w:rsid w:val="7B8C7756"/>
    <w:rsid w:val="7BDBD99A"/>
    <w:rsid w:val="7BF25034"/>
    <w:rsid w:val="7BFC600F"/>
    <w:rsid w:val="7C517901"/>
    <w:rsid w:val="7D9944C9"/>
    <w:rsid w:val="7DBD2E11"/>
    <w:rsid w:val="7EE9381E"/>
    <w:rsid w:val="7EF24F07"/>
    <w:rsid w:val="7F6D078B"/>
    <w:rsid w:val="7F9FA5E5"/>
    <w:rsid w:val="7FB57401"/>
    <w:rsid w:val="7FBC0AE6"/>
    <w:rsid w:val="7FD3D749"/>
    <w:rsid w:val="AF7700FC"/>
    <w:rsid w:val="B7BE4359"/>
    <w:rsid w:val="B7EBFF08"/>
    <w:rsid w:val="BBAED7A1"/>
    <w:rsid w:val="BD05A8F5"/>
    <w:rsid w:val="BEDFAE37"/>
    <w:rsid w:val="D5FD09B3"/>
    <w:rsid w:val="DFBD1BDB"/>
    <w:rsid w:val="E7EDE0F3"/>
    <w:rsid w:val="EBB98E36"/>
    <w:rsid w:val="EFFDCA70"/>
    <w:rsid w:val="EFFFF0C2"/>
    <w:rsid w:val="F37F4052"/>
    <w:rsid w:val="F6FE9C56"/>
    <w:rsid w:val="F9E5C3EC"/>
    <w:rsid w:val="FAF3FF02"/>
    <w:rsid w:val="FDEF3D03"/>
    <w:rsid w:val="FFB99041"/>
    <w:rsid w:val="FFE781F8"/>
    <w:rsid w:val="FFFFD9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spacing w:before="175"/>
      <w:ind w:left="1040" w:firstLine="600"/>
    </w:pPr>
    <w:rPr>
      <w:rFonts w:ascii="仿宋" w:hAnsi="仿宋" w:eastAsia="仿宋" w:cs="仿宋"/>
      <w:sz w:val="30"/>
      <w:szCs w:val="30"/>
      <w:lang w:val="zh-CN" w:bidi="zh-CN"/>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Body Text First Indent"/>
    <w:basedOn w:val="4"/>
    <w:qFormat/>
    <w:uiPriority w:val="0"/>
    <w:pPr>
      <w:spacing w:line="560" w:lineRule="exact"/>
      <w:ind w:firstLine="721" w:firstLineChars="200"/>
    </w:pPr>
    <w:rPr>
      <w:rFonts w:ascii="Calibri"/>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FollowedHyperlink"/>
    <w:basedOn w:val="9"/>
    <w:qFormat/>
    <w:uiPriority w:val="0"/>
    <w:rPr>
      <w:color w:val="333333"/>
      <w:u w:val="none"/>
    </w:rPr>
  </w:style>
  <w:style w:type="character" w:styleId="12">
    <w:name w:val="HTML Definition"/>
    <w:basedOn w:val="9"/>
    <w:qFormat/>
    <w:uiPriority w:val="0"/>
    <w:rPr>
      <w:i/>
      <w:iCs/>
    </w:rPr>
  </w:style>
  <w:style w:type="character" w:styleId="13">
    <w:name w:val="HTML Acronym"/>
    <w:basedOn w:val="9"/>
    <w:qFormat/>
    <w:uiPriority w:val="0"/>
  </w:style>
  <w:style w:type="character" w:styleId="14">
    <w:name w:val="Hyperlink"/>
    <w:basedOn w:val="9"/>
    <w:qFormat/>
    <w:uiPriority w:val="0"/>
    <w:rPr>
      <w:color w:val="333333"/>
      <w:u w:val="none"/>
    </w:rPr>
  </w:style>
  <w:style w:type="character" w:styleId="15">
    <w:name w:val="HTML Code"/>
    <w:basedOn w:val="9"/>
    <w:qFormat/>
    <w:uiPriority w:val="0"/>
    <w:rPr>
      <w:rFonts w:hint="default" w:ascii="monospace" w:hAnsi="monospace" w:eastAsia="monospace" w:cs="monospace"/>
      <w:sz w:val="21"/>
      <w:szCs w:val="21"/>
    </w:rPr>
  </w:style>
  <w:style w:type="character" w:styleId="16">
    <w:name w:val="HTML Keyboard"/>
    <w:basedOn w:val="9"/>
    <w:qFormat/>
    <w:uiPriority w:val="0"/>
    <w:rPr>
      <w:rFonts w:hint="default" w:ascii="monospace" w:hAnsi="monospace" w:eastAsia="monospace" w:cs="monospace"/>
      <w:sz w:val="21"/>
      <w:szCs w:val="21"/>
    </w:rPr>
  </w:style>
  <w:style w:type="character" w:styleId="17">
    <w:name w:val="HTML Sample"/>
    <w:basedOn w:val="9"/>
    <w:qFormat/>
    <w:uiPriority w:val="0"/>
    <w:rPr>
      <w:rFonts w:ascii="monospace" w:hAnsi="monospace" w:eastAsia="monospace" w:cs="monospace"/>
      <w:sz w:val="21"/>
      <w:szCs w:val="21"/>
    </w:rPr>
  </w:style>
  <w:style w:type="character" w:customStyle="1" w:styleId="18">
    <w:name w:val="msg-box6"/>
    <w:basedOn w:val="9"/>
    <w:qFormat/>
    <w:uiPriority w:val="0"/>
  </w:style>
  <w:style w:type="character" w:customStyle="1" w:styleId="19">
    <w:name w:val="left"/>
    <w:basedOn w:val="9"/>
    <w:qFormat/>
    <w:uiPriority w:val="0"/>
  </w:style>
  <w:style w:type="character" w:customStyle="1" w:styleId="20">
    <w:name w:val="c2"/>
    <w:basedOn w:val="9"/>
    <w:qFormat/>
    <w:uiPriority w:val="0"/>
  </w:style>
  <w:style w:type="character" w:customStyle="1" w:styleId="21">
    <w:name w:val="buvis"/>
    <w:basedOn w:val="9"/>
    <w:qFormat/>
    <w:uiPriority w:val="0"/>
    <w:rPr>
      <w:color w:val="999999"/>
    </w:rPr>
  </w:style>
  <w:style w:type="character" w:customStyle="1" w:styleId="22">
    <w:name w:val="buvis1"/>
    <w:basedOn w:val="9"/>
    <w:qFormat/>
    <w:uiPriority w:val="0"/>
    <w:rPr>
      <w:color w:val="CC0000"/>
    </w:rPr>
  </w:style>
  <w:style w:type="character" w:customStyle="1" w:styleId="23">
    <w:name w:val="c3"/>
    <w:basedOn w:val="9"/>
    <w:qFormat/>
    <w:uiPriority w:val="0"/>
  </w:style>
  <w:style w:type="character" w:customStyle="1" w:styleId="24">
    <w:name w:val="tit42"/>
    <w:basedOn w:val="9"/>
    <w:qFormat/>
    <w:uiPriority w:val="0"/>
    <w:rPr>
      <w:b/>
      <w:bCs/>
      <w:color w:val="333333"/>
      <w:sz w:val="24"/>
      <w:szCs w:val="24"/>
    </w:rPr>
  </w:style>
  <w:style w:type="character" w:customStyle="1" w:styleId="25">
    <w:name w:val="c1"/>
    <w:basedOn w:val="9"/>
    <w:qFormat/>
    <w:uiPriority w:val="0"/>
  </w:style>
  <w:style w:type="character" w:customStyle="1" w:styleId="26">
    <w:name w:val="tit"/>
    <w:basedOn w:val="9"/>
    <w:qFormat/>
    <w:uiPriority w:val="0"/>
    <w:rPr>
      <w:b/>
      <w:bCs/>
      <w:color w:val="333333"/>
      <w:sz w:val="24"/>
      <w:szCs w:val="24"/>
    </w:rPr>
  </w:style>
  <w:style w:type="paragraph" w:customStyle="1" w:styleId="27">
    <w:name w:val="Table Text"/>
    <w:basedOn w:val="1"/>
    <w:semiHidden/>
    <w:qFormat/>
    <w:uiPriority w:val="0"/>
    <w:rPr>
      <w:rFonts w:ascii="仿宋" w:hAnsi="仿宋" w:eastAsia="仿宋" w:cs="仿宋"/>
      <w:sz w:val="24"/>
      <w:lang w:eastAsia="en-US"/>
    </w:rPr>
  </w:style>
  <w:style w:type="paragraph" w:customStyle="1" w:styleId="28">
    <w:name w:val="5-内文"/>
    <w:basedOn w:val="1"/>
    <w:qFormat/>
    <w:uiPriority w:val="0"/>
    <w:pPr>
      <w:spacing w:beforeLines="25" w:afterLines="25" w:line="300" w:lineRule="auto"/>
      <w:ind w:firstLine="200" w:firstLineChars="200"/>
    </w:pPr>
    <w:rPr>
      <w:rFonts w:ascii="Times New Roman" w:hAnsi="Times New Roman" w:eastAsia="仿宋_GB2312"/>
      <w:sz w:val="28"/>
      <w:szCs w:val="20"/>
    </w:rPr>
  </w:style>
  <w:style w:type="table" w:customStyle="1" w:styleId="29">
    <w:name w:val="TableGrid"/>
    <w:qFormat/>
    <w:uiPriority w:val="0"/>
    <w:tblPr>
      <w:tblCellMar>
        <w:top w:w="0" w:type="dxa"/>
        <w:left w:w="0" w:type="dxa"/>
        <w:bottom w:w="0" w:type="dxa"/>
        <w:right w:w="0" w:type="dxa"/>
      </w:tblCellMar>
    </w:tblPr>
  </w:style>
  <w:style w:type="paragraph" w:customStyle="1" w:styleId="30">
    <w:name w:val="Default"/>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31">
    <w:name w:val="无"/>
    <w:qFormat/>
    <w:uiPriority w:val="0"/>
  </w:style>
  <w:style w:type="paragraph" w:styleId="3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6ac707ed-7c31-481a-9337-417f8d4b91f0</errorID>
      <errorWord>建为核心理念</errorWord>
      <group>L1_AI</group>
      <groupName>深度校对</groupName>
      <ability>L2_AI_Grammar</ability>
      <abilityName>语法纠错</abilityName>
      <candidateList>
        <item>建</item>
      </candidateList>
      <explain/>
      <paraID>  D40B2B</paraID>
      <start>56</start>
      <end>62</end>
      <status>ignored</status>
      <modifiedWord/>
      <trackRevisions>false</trackRevisions>
    </reviewItem>
    <reviewItem>
      <errorID>3a357f03-0413-48d0-bdb3-422c20dd5b69</errorID>
      <errorWord>双碳</errorWord>
      <group>L1_Political</group>
      <groupName>政治性问题</groupName>
      <ability>L2_Keyword</ability>
      <abilityName>固定表述</abilityName>
      <candidateList>
        <item>“双碳”</item>
      </candidateList>
      <explain>注意检查当前固定表述标点是否使用规范。</explain>
      <paraID> 23669B4</paraID>
      <start>23</start>
      <end>25</end>
      <status>ignored</status>
      <modifiedWord/>
      <trackRevisions>false</trackRevisions>
    </reviewItem>
    <reviewItem>
      <errorID>86329cd7-7743-4fd2-ade6-cfdb81df981e</errorID>
      <errorWord>双碳</errorWord>
      <group>L1_Political</group>
      <groupName>政治性问题</groupName>
      <ability>L2_Keyword</ability>
      <abilityName>固定表述</abilityName>
      <candidateList>
        <item>“双碳”</item>
      </candidateList>
      <explain>注意检查当前固定表述标点是否使用规范。</explain>
      <paraID>3B0FF742</paraID>
      <start>25</start>
      <end>27</end>
      <status>ignored</status>
      <modifiedWord/>
      <trackRevisions>false</trackRevisions>
    </reviewItem>
    <reviewItem>
      <errorID>f1b08832-9062-4422-87d0-0db8d00acf65</errorID>
      <errorWord>运营</errorWord>
      <group>L1_AI</group>
      <groupName>深度校对</groupName>
      <ability>L2_AI_Grammar</ability>
      <abilityName>语法纠错</abilityName>
      <candidateList>
        <item>以及运营</item>
      </candidateList>
      <explain/>
      <paraID>56717952</paraID>
      <start>187</start>
      <end>189</end>
      <status>ignored</status>
      <modifiedWord/>
      <trackRevisions>false</trackRevisions>
    </reviewItem>
    <reviewItem>
      <errorID>82a7651c-3b30-4a5b-aee4-754897fdf77b</errorID>
      <errorWord>，</errorWord>
      <group>L1_AI</group>
      <groupName>深度校对</groupName>
      <ability>L2_AI_Punc</ability>
      <abilityName>标点纠错</abilityName>
      <candidateList>
        <item>；</item>
      </candidateList>
      <explain/>
      <paraID>56717952</paraID>
      <start>217</start>
      <end>218</end>
      <status>ignored</status>
      <modifiedWord/>
      <trackRevisions>false</trackRevisions>
    </reviewItem>
    <reviewItem>
      <errorID>0e4ffb52-25a4-4254-9e3e-1d6d70a30227</errorID>
      <errorWord>。</errorWord>
      <group>L1_AI</group>
      <groupName>深度校对</groupName>
      <ability>L2_AI_Punc</ability>
      <abilityName>标点纠错</abilityName>
      <candidateList>
        <item>；</item>
      </candidateList>
      <explain/>
      <paraID>3AC4747B</paraID>
      <start>37</start>
      <end>38</end>
      <status>ignored</status>
      <modifiedWord/>
      <trackRevisions>false</trackRevisions>
    </reviewItem>
    <reviewItem>
      <errorID>40499e0b-8c43-4c7b-b174-c217cc6fe326</errorID>
      <errorWord>双碳</errorWord>
      <group>L1_Political</group>
      <groupName>政治性问题</groupName>
      <ability>L2_Keyword</ability>
      <abilityName>固定表述</abilityName>
      <candidateList>
        <item>“双碳”</item>
      </candidateList>
      <explain>注意检查当前固定表述标点是否使用规范。</explain>
      <paraID> E53ECF5</paraID>
      <start>3</start>
      <end>5</end>
      <status>ignored</status>
      <modifiedWord/>
      <trackRevisions>false</trackRevisions>
    </reviewItem>
    <reviewItem>
      <errorID>43b3f987-122b-4dbf-bc07-51041e64f002</errorID>
      <errorWord>双碳</errorWord>
      <group>L1_Political</group>
      <groupName>政治性问题</groupName>
      <ability>L2_Keyword</ability>
      <abilityName>固定表述</abilityName>
      <candidateList>
        <item>“双碳”</item>
      </candidateList>
      <explain>注意检查当前固定表述标点是否使用规范。</explain>
      <paraID>570B8F41</paraID>
      <start>0</start>
      <end>2</end>
      <status>ignored</status>
      <modifiedWord/>
      <trackRevisions>false</trackRevisions>
    </reviewItem>
    <reviewItem>
      <errorID>86842318-8b7a-42df-8d7d-f7288275a612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570B8F41</paraID>
      <start>90</start>
      <end>93</end>
      <status>ignored</status>
      <modifiedWord/>
      <trackRevisions>false</trackRevisions>
    </reviewItem>
    <reviewItem>
      <errorID>17e3c41d-c69b-4aeb-8349-c8b798f282a1</errorID>
      <errorWord>双碳</errorWord>
      <group>L1_Political</group>
      <groupName>政治性问题</groupName>
      <ability>L2_Keyword</ability>
      <abilityName>固定表述</abilityName>
      <candidateList>
        <item>“双碳”</item>
      </candidateList>
      <explain>注意检查当前固定表述标点是否使用规范。</explain>
      <paraID>2F9EAD02</paraID>
      <start>7</start>
      <end>9</end>
      <status>ignored</status>
      <modifiedWord/>
      <trackRevisions>false</trackRevisions>
    </reviewItem>
    <reviewItem>
      <errorID>05dadcc6-4cd1-48da-8caa-84d60644c2a3</errorID>
      <errorWord>未破产的、以</errorWord>
      <group>L1_AI</group>
      <groupName>深度校对</groupName>
      <ability>L2_AI_Word</ability>
      <abilityName>字词纠错</abilityName>
      <candidateList>
        <item>以未破产的、</item>
      </candidateList>
      <explain/>
      <paraID>35C85EC1</paraID>
      <start>48</start>
      <end>54</end>
      <status>ignored</status>
      <modifiedWord/>
      <trackRevisions>false</trackRevisions>
    </reviewItem>
    <reviewItem>
      <errorID>cc27e6da-2db3-47ea-969c-161176cbf588</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 9B95338</paraID>
      <start>99</start>
      <end>102</end>
      <status>ignored</status>
      <modifiedWord/>
      <trackRevisions>false</trackRevisions>
    </reviewItem>
    <reviewItem>
      <errorID>40abb9d2-71df-4181-81d7-d9a54364fb72</errorID>
      <errorWord>双碳</errorWord>
      <group>L1_Political</group>
      <groupName>政治性问题</groupName>
      <ability>L2_Keyword</ability>
      <abilityName>固定表述</abilityName>
      <candidateList>
        <item>“双碳”</item>
      </candidateList>
      <explain>注意检查当前固定表述标点是否使用规范。</explain>
      <paraID>508DF958</paraID>
      <start>3</start>
      <end>5</end>
      <status>ignored</status>
      <modifiedWord/>
      <trackRevisions>false</trackRevisions>
    </reviewItem>
    <reviewItem>
      <errorID>27dc721d-b6d7-4e1a-bda3-9dd2de4f3cf3</errorID>
      <errorWord>双碳</errorWord>
      <group>L1_Political</group>
      <groupName>政治性问题</groupName>
      <ability>L2_Keyword</ability>
      <abilityName>固定表述</abilityName>
      <candidateList>
        <item>“双碳”</item>
      </candidateList>
      <explain>注意检查当前固定表述标点是否使用规范。</explain>
      <paraID>1B0645F9</paraID>
      <start>0</start>
      <end>2</end>
      <status>ignored</status>
      <modifiedWord/>
      <trackRevisions>false</trackRevisions>
    </reviewItem>
    <reviewItem>
      <errorID>1f52c648-4506-4fed-921c-5bf4e3c5d0c0</errorID>
      <errorWord>参与在</errorWord>
      <group>L1_Word</group>
      <groupName>字词问题</groupName>
      <ability>L2_Typo</ability>
      <abilityName>字词错误</abilityName>
      <candidateList>
        <item>参与</item>
      </candidateList>
      <explain>（参预）cānyù〈动〉参加（事务的计划、讨论、处理）：～其事｜他曾～这个规划的制订工作。</explain>
      <paraID>4885292D</paraID>
      <start>52</start>
      <end>55</end>
      <status>ignored</status>
      <modifiedWord/>
      <trackRevisions>false</trackRevisions>
    </reviewItem>
    <reviewItem>
      <errorID>e9098363-65a6-4c6a-871d-26f1d1f60353</errorID>
      <errorWord>双碳</errorWord>
      <group>L1_Political</group>
      <groupName>政治性问题</groupName>
      <ability>L2_Keyword</ability>
      <abilityName>固定表述</abilityName>
      <candidateList>
        <item>“双碳”</item>
      </candidateList>
      <explain>注意检查当前固定表述标点是否使用规范。</explain>
      <paraID>4885292D</paraID>
      <start>55</start>
      <end>57</end>
      <status>ignored</status>
      <modifiedWord/>
      <trackRevisions>false</trackRevisions>
    </reviewItem>
    <reviewItem>
      <errorID>e021a018-97c8-463b-9c31-e68c69088b02</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485C0C8D</paraID>
      <start>32</start>
      <end>35</end>
      <status>ignored</status>
      <modifiedWord/>
      <trackRevisions>false</trackRevisions>
    </reviewItem>
    <reviewItem>
      <errorID>0d91385d-b16c-4de2-af58-b063978b6ed7</errorID>
      <errorWord>重点考察学生</errorWord>
      <group>L1_Word</group>
      <groupName>字词问题</groupName>
      <ability>L2_Typo</ability>
      <abilityName>字词错误</abilityName>
      <candidateList>
        <item>重点考查学生</item>
      </candidateList>
      <explain/>
      <paraID>485C0C8D</paraID>
      <start>50</start>
      <end>56</end>
      <status>ignored</status>
      <modifiedWord/>
      <trackRevisions>false</trackRevisions>
    </reviewItem>
    <reviewItem>
      <errorID>8be7830b-23b3-4c08-9393-0dba04638f49</errorID>
      <errorWord>双碳</errorWord>
      <group>L1_Political</group>
      <groupName>政治性问题</groupName>
      <ability>L2_Keyword</ability>
      <abilityName>固定表述</abilityName>
      <candidateList>
        <item>“双碳”</item>
      </candidateList>
      <explain>注意检查当前固定表述标点是否使用规范。</explain>
      <paraID>6CC914EB</paraID>
      <start>3</start>
      <end>5</end>
      <status>ignored</status>
      <modifiedWord/>
      <trackRevisions>false</trackRevisions>
    </reviewItem>
    <reviewItem>
      <errorID>b3caa5c2-c110-4e9f-b1ef-6770f20cc8ed</errorID>
      <errorWord>双碳</errorWord>
      <group>L1_Political</group>
      <groupName>政治性问题</groupName>
      <ability>L2_Keyword</ability>
      <abilityName>固定表述</abilityName>
      <candidateList>
        <item>“双碳”</item>
      </candidateList>
      <explain>注意检查当前固定表述标点是否使用规范。</explain>
      <paraID>16D8CDD2</paraID>
      <start>141</start>
      <end>143</end>
      <status>ignored</status>
      <modifiedWord/>
      <trackRevisions>false</trackRevisions>
    </reviewItem>
    <reviewItem>
      <errorID>980506a9-82f2-46ef-9e21-ae93eb094adf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79E309C4</paraID>
      <start>130</start>
      <end>131</end>
      <status>ignored</status>
      <modifiedWord/>
      <trackRevisions>false</trackRevisions>
    </reviewItem>
    <reviewItem>
      <errorID>e66b456c-f0b5-4b3a-bee9-0703afa4a820</errorID>
      <errorWord>考察学生</errorWord>
      <group>L1_Word</group>
      <groupName>字词问题</groupName>
      <ability>L2_Typo</ability>
      <abilityName>字词错误</abilityName>
      <candidateList>
        <item>考查学生</item>
      </candidateList>
      <explain/>
      <paraID>558E33E7</paraID>
      <start>61</start>
      <end>65</end>
      <status>ignored</status>
      <modifiedWord/>
      <trackRevisions>false</trackRevisions>
    </reviewItem>
    <reviewItem>
      <errorID>9a75a187-366d-42a8-8689-370ba54e90cd</errorID>
      <errorWord>如</errorWord>
      <group>L1_Word</group>
      <groupName>字词问题</groupName>
      <ability>L2_Typo</ability>
      <abilityName>字词错误</abilityName>
      <candidateList>
        <item>如下</item>
      </candidateList>
      <explain>〈动〉如同下面所叙述或列举的：列举～｜现将应注意的事情说明～。</explain>
      <paraID>558E33E7</paraID>
      <start>107</start>
      <end>108</end>
      <status>ignored</status>
      <modifiedWord/>
      <trackRevisions>false</trackRevisions>
    </reviewItem>
    <reviewItem>
      <errorID>d9b692b3-bb9f-47aa-a99f-a39bb6f4947b</errorID>
      <errorWord>双碳</errorWord>
      <group>L1_Political</group>
      <groupName>政治性问题</groupName>
      <ability>L2_Keyword</ability>
      <abilityName>固定表述</abilityName>
      <candidateList>
        <item>“双碳”</item>
      </candidateList>
      <explain>注意检查当前固定表述标点是否使用规范。</explain>
      <paraID>5889B778</paraID>
      <start>2</start>
      <end>4</end>
      <status>ignored</status>
      <modifiedWord/>
      <trackRevisions>false</trackRevisions>
    </reviewItem>
    <reviewItem>
      <errorID>d7862b93-10f9-47a0-8820-efe6aca03a1e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643A6E14</paraID>
      <start>0</start>
      <end>3</end>
      <status>ignored</status>
      <modifiedWord/>
      <trackRevisions>false</trackRevisions>
    </reviewItem>
    <reviewItem>
      <errorID>2cee4d3b-0bf4-4086-b9ee-37b043edc852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608F1FD</paraID>
      <start>0</start>
      <end>3</end>
      <status>ignored</status>
      <modifiedWord/>
      <trackRevisions>false</trackRevisions>
    </reviewItem>
    <reviewItem>
      <errorID>f02472a5-5159-4f4b-ad14-415ec6f8ac7e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49B474F</paraID>
      <start>0</start>
      <end>3</end>
      <status>ignored</status>
      <modifiedWord/>
      <trackRevisions>false</trackRevisions>
    </reviewItem>
    <reviewItem>
      <errorID>89cbb045-ae28-43de-a69d-d8c3c711e38f</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466326A8</paraID>
      <start>0</start>
      <end>3</end>
      <status>ignored</status>
      <modifiedWord/>
      <trackRevisions>false</trackRevisions>
    </reviewItem>
    <reviewItem>
      <errorID>18279ee9-e10d-40b1-907d-b8289c10a392</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7E0A3755</paraID>
      <start>0</start>
      <end>3</end>
      <status>ignored</status>
      <modifiedWord/>
      <trackRevisions>false</trackRevisions>
    </reviewItem>
    <reviewItem>
      <errorID>5e4c816e-42aa-486c-beaa-007062022739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2E51F33</paraID>
      <start>0</start>
      <end>3</end>
      <status>ignored</status>
      <modifiedWord/>
      <trackRevisions>false</trackRevisions>
    </reviewItem>
    <reviewItem>
      <errorID>d9c2567e-6a34-4985-8e4c-24bf90e1f065</errorID>
      <errorWord>双碳</errorWord>
      <group>L1_Political</group>
      <groupName>政治性问题</groupName>
      <ability>L2_Keyword</ability>
      <abilityName>固定表述</abilityName>
      <candidateList>
        <item>“双碳”</item>
      </candidateList>
      <explain>注意检查当前固定表述标点是否使用规范。</explain>
      <paraID>77B6CAAB</paraID>
      <start>5</start>
      <end>7</end>
      <status>ignored</status>
      <modifiedWord/>
      <trackRevisions>false</trackRevisions>
    </reviewItem>
    <reviewItem>
      <errorID>2ba9f23c-6c33-4069-8601-8871ad0f480f</errorID>
      <errorWord>队</errorWord>
      <group>L1_Word</group>
      <groupName>字词问题</groupName>
      <ability>L2_Typo</ability>
      <abilityName>字词错误</abilityName>
      <candidateList>
        <item>队伍</item>
      </candidateList>
      <explain/>
      <paraID>42995EAB</paraID>
      <start>7</start>
      <end>8</end>
      <status>ignored</status>
      <modifiedWord/>
      <trackRevisions>false</trackRevisions>
    </reviewItem>
    <reviewItem>
      <errorID>f740075b-8f79-4df4-849e-b5b3333a9236</errorID>
      <errorWord>获</errorWord>
      <group>L1_Word</group>
      <groupName>字词问题</groupName>
      <ability>L2_Typo</ability>
      <abilityName>字词错误</abilityName>
      <candidateList>
        <item>获得</item>
      </candidateList>
      <explain>〈动〉取得；得到（多用于抽象事物）：～好评｜～宝贵的经验｜～显著的成绩。</explain>
      <paraID>59FCFEBE</paraID>
      <start>9</start>
      <end>10</end>
      <status>ignored</status>
      <modifiedWord/>
      <trackRevisions>false</trackRevisions>
    </reviewItem>
    <reviewItem>
      <errorID>a33ddefa-649b-402f-871a-694dfea4b909</errorID>
      <errorWord>获</errorWord>
      <group>L1_Word</group>
      <groupName>字词问题</groupName>
      <ability>L2_Typo</ability>
      <abilityName>字词错误</abilityName>
      <candidateList>
        <item>获得</item>
      </candidateList>
      <explain>〈动〉取得；得到（多用于抽象事物）：～好评｜～宝贵的经验｜～显著的成绩。</explain>
      <paraID>59C5AAFE</paraID>
      <start>7</start>
      <end>8</end>
      <status>ignored</status>
      <modifiedWord/>
      <trackRevisions>false</trackRevisions>
    </reviewItem>
    <reviewItem>
      <errorID>bd0db759-ec40-491a-8a4f-0e87b371e651</errorID>
      <errorWord>时间就</errorWord>
      <group>L1_Word</group>
      <groupName>字词问题</groupName>
      <ability>L2_Typo</ability>
      <abilityName>字词错误</abilityName>
      <candidateList>
        <item>时间</item>
      </candidateList>
      <explain>〈名〉❶物质动动中的一种存在方式，由过去、现在、将来构成的连绵不断的系统。是物质的运动、变化的持续性、顺序性的表现。❷有起点和终点的一段时间：地球自转一周的～是二十四小时｜盖这么一所房子要多少～？❸时间里的某一点：现在的～是三点十五分。</explain>
      <paraID>52147990</paraID>
      <start>18</start>
      <end>21</end>
      <status>ignored</status>
      <modifiedWord/>
      <trackRevisions>false</trackRevisions>
    </reviewItem>
    <reviewItem>
      <errorID>aac789ea-5049-4b96-b229-affc96801fde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33B534E2</paraID>
      <start>0</start>
      <end>3</end>
      <status>ignored</status>
      <modifiedWord/>
      <trackRevisions>false</trackRevisions>
    </reviewItem>
    <reviewItem>
      <errorID>6e47573c-12cf-48a6-87f4-4d41e1ef1f16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6159CB89</paraID>
      <start>0</start>
      <end>3</end>
      <status>ignored</status>
      <modifiedWord/>
      <trackRevisions>false</trackRevisions>
    </reviewItem>
    <reviewItem>
      <errorID>cc45a378-ba49-4383-8988-aeafabf2c8a1</errorID>
      <errorWord>做好本</errorWord>
      <group>L1_Word</group>
      <groupName>字词问题</groupName>
      <ability>L2_Typo</ability>
      <abilityName>字词错误</abilityName>
      <candidateList>
        <item>做好</item>
      </candidateList>
      <explain/>
      <paraID>5AB2828D</paraID>
      <start>10</start>
      <end>13</end>
      <status>ignored</status>
      <modifiedWord/>
      <trackRevisions>false</trackRevisions>
    </reviewItem>
    <reviewItem>
      <errorID>c6141d25-aa35-47cd-9255-010a292d456e</errorID>
      <errorWord>拒绝接收</errorWord>
      <group>L1_Word</group>
      <groupName>字词问题</groupName>
      <ability>L2_Typo</ability>
      <abilityName>字词错误</abilityName>
      <candidateList>
        <item>拒绝接受</item>
      </candidateList>
      <explain>存在发音相同字词的误用。</explain>
      <paraID>25ADFE6A</paraID>
      <start>10</start>
      <end>14</end>
      <status>ignored</status>
      <modifiedWord/>
      <trackRevisions>false</trackRevisions>
    </reviewItem>
  </reviewItems>
  <config/>
</contractReview>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c24eeb70-00f2-4c18-bf77-70f6f1e9ba6c}">
  <ds:schemaRefs/>
</ds:datastoreItem>
</file>

<file path=customXml/itemProps2.xml><?xml version="1.0" encoding="utf-8"?>
<ds:datastoreItem xmlns:ds="http://schemas.openxmlformats.org/officeDocument/2006/customXml" ds:itemID="{E52F552F-6E8B-4B9E-8611-5E1ACE603100}">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10510</Words>
  <Characters>11008</Characters>
  <Lines>668</Lines>
  <Paragraphs>631</Paragraphs>
  <TotalTime>2</TotalTime>
  <ScaleCrop>false</ScaleCrop>
  <LinksUpToDate>false</LinksUpToDate>
  <CharactersWithSpaces>11016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2026-05-01T17:41:00Z</dcterms:created>
  <dc:creator>Administrator</dc:creator>
  <cp:lastModifiedBy>心情盒子</cp:lastModifiedBy>
  <cp:lastPrinted>2025-03-27T10:00:00Z</cp:lastPrinted>
  <dcterms:modified xsi:type="dcterms:W3CDTF">2026-09-14T07:48:50Z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eyJoZGlkIjoiOTVkYmM1MDJjMGMwYjczNzM3MDMxNTg4NmM2MGE2MGMiLCJ1c2VySWQiOiI2OTYwMTEyMzUifQ==</vt:lpwstr>
  </property>
  <property fmtid="{D5CDD505-2E9C-101B-9397-08002B2CF9AE}" pid="4" name="ICV">
    <vt:lpwstr>7FDA3C5980044329AB7E3D91D40560C9</vt:lpwstr>
  </property>
</Properties>
</file>